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nexo-a-manual-operacional-aws"/>
    <w:p>
      <w:pPr>
        <w:pStyle w:val="Heading1"/>
      </w:pPr>
      <w:r>
        <w:t xml:space="preserve">ANEXO A – MANUAL OPERACIONAL AWS</w:t>
      </w:r>
    </w:p>
    <w:p>
      <w:pPr>
        <w:pStyle w:val="FirstParagraph"/>
      </w:pPr>
      <w:r>
        <w:rPr>
          <w:b/>
          <w:bCs/>
        </w:rPr>
        <w:t xml:space="preserve">Abstergo Industries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31/05/2026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manual apresenta orientações operacionais para utilização, monitoramento e manutenção dos serviços AWS implementados na Abstergo Industries, garantindo disponibilidade, segurança da informação e continuidade operacional.</w:t>
      </w:r>
    </w:p>
    <w:p>
      <w:r>
        <w:pict>
          <v:rect style="width:0;height:1.5pt" o:hralign="center" o:hrstd="t" o:hr="t"/>
        </w:pict>
      </w:r>
    </w:p>
    <w:bookmarkEnd w:id="20"/>
    <w:bookmarkStart w:id="21" w:name="serviços-implementados"/>
    <w:p>
      <w:pPr>
        <w:pStyle w:val="Heading2"/>
      </w:pPr>
      <w:r>
        <w:t xml:space="preserve">2. Serviços Implementados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 AWS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EC2</w:t>
            </w:r>
          </w:p>
        </w:tc>
        <w:tc>
          <w:tcPr/>
          <w:p>
            <w:pPr>
              <w:pStyle w:val="Compact"/>
            </w:pPr>
            <w:r>
              <w:t xml:space="preserve">Hospedagem de aplicações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Armazenamento de dados corporativos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 Glacier</w:t>
            </w:r>
          </w:p>
        </w:tc>
        <w:tc>
          <w:tcPr/>
          <w:p>
            <w:pPr>
              <w:pStyle w:val="Compact"/>
            </w:pPr>
            <w:r>
              <w:t xml:space="preserve">Arquivamento de longo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Automação de tarefas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CloudWatch</w:t>
            </w:r>
          </w:p>
        </w:tc>
        <w:tc>
          <w:tcPr/>
          <w:p>
            <w:pPr>
              <w:pStyle w:val="Compact"/>
            </w:pPr>
            <w:r>
              <w:t xml:space="preserve">Monitoramento e alertas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1" w:name="procedimentos-operacionais"/>
    <w:p>
      <w:pPr>
        <w:pStyle w:val="Heading2"/>
      </w:pPr>
      <w:r>
        <w:t xml:space="preserve">3. Procedimentos Operacionais</w:t>
      </w:r>
    </w:p>
    <w:bookmarkStart w:id="25" w:name="gerenciamento-do-amazon-ec2"/>
    <w:p>
      <w:pPr>
        <w:pStyle w:val="Heading3"/>
      </w:pPr>
      <w:r>
        <w:t xml:space="preserve">3.1 Gerenciamento do Amazon EC2</w:t>
      </w:r>
    </w:p>
    <w:bookmarkStart w:id="22" w:name="inicialização-de-instância"/>
    <w:p>
      <w:pPr>
        <w:pStyle w:val="Heading4"/>
      </w:pPr>
      <w:r>
        <w:t xml:space="preserve">Inicialização de Instância</w:t>
      </w:r>
    </w:p>
    <w:p>
      <w:pPr>
        <w:pStyle w:val="Compact"/>
        <w:numPr>
          <w:ilvl w:val="0"/>
          <w:numId w:val="1001"/>
        </w:numPr>
      </w:pPr>
      <w:r>
        <w:t xml:space="preserve">Acessar AWS Console;</w:t>
      </w:r>
    </w:p>
    <w:p>
      <w:pPr>
        <w:pStyle w:val="Compact"/>
        <w:numPr>
          <w:ilvl w:val="0"/>
          <w:numId w:val="1001"/>
        </w:numPr>
      </w:pPr>
      <w:r>
        <w:t xml:space="preserve">Navegar até</w:t>
      </w:r>
      <w:r>
        <w:t xml:space="preserve"> </w:t>
      </w:r>
      <w:r>
        <w:rPr>
          <w:b/>
          <w:bCs/>
        </w:rPr>
        <w:t xml:space="preserve">EC2 &gt; Instances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Selecionar instância;</w:t>
      </w:r>
    </w:p>
    <w:p>
      <w:pPr>
        <w:pStyle w:val="Compact"/>
        <w:numPr>
          <w:ilvl w:val="0"/>
          <w:numId w:val="100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Start Instance</w:t>
      </w:r>
      <w:r>
        <w:t xml:space="preserve">.</w:t>
      </w:r>
    </w:p>
    <w:bookmarkEnd w:id="22"/>
    <w:bookmarkStart w:id="23" w:name="reinicialização-programada"/>
    <w:p>
      <w:pPr>
        <w:pStyle w:val="Heading4"/>
      </w:pPr>
      <w:r>
        <w:t xml:space="preserve">Reinicialização Programada</w:t>
      </w:r>
    </w:p>
    <w:p>
      <w:pPr>
        <w:pStyle w:val="Compact"/>
        <w:numPr>
          <w:ilvl w:val="0"/>
          <w:numId w:val="1002"/>
        </w:numPr>
      </w:pPr>
      <w:r>
        <w:t xml:space="preserve">Periodicidade recomendada: mensal;</w:t>
      </w:r>
    </w:p>
    <w:p>
      <w:pPr>
        <w:pStyle w:val="Compact"/>
        <w:numPr>
          <w:ilvl w:val="0"/>
          <w:numId w:val="1002"/>
        </w:numPr>
      </w:pPr>
      <w:r>
        <w:t xml:space="preserve">Janela de manutenção: domingos, 02:00h às 04:00h.</w:t>
      </w:r>
    </w:p>
    <w:bookmarkEnd w:id="23"/>
    <w:bookmarkStart w:id="24" w:name="monitoramento"/>
    <w:p>
      <w:pPr>
        <w:pStyle w:val="Heading4"/>
      </w:pPr>
      <w:r>
        <w:t xml:space="preserve">Monitoramento</w:t>
      </w:r>
    </w:p>
    <w:p>
      <w:pPr>
        <w:pStyle w:val="FirstParagraph"/>
      </w:pPr>
      <w:r>
        <w:t xml:space="preserve">Indicadores mínimos:</w:t>
      </w:r>
    </w:p>
    <w:p>
      <w:pPr>
        <w:pStyle w:val="Compact"/>
        <w:numPr>
          <w:ilvl w:val="0"/>
          <w:numId w:val="1003"/>
        </w:numPr>
      </w:pPr>
      <w:r>
        <w:t xml:space="preserve">CPU Utilization;</w:t>
      </w:r>
    </w:p>
    <w:p>
      <w:pPr>
        <w:pStyle w:val="Compact"/>
        <w:numPr>
          <w:ilvl w:val="0"/>
          <w:numId w:val="1003"/>
        </w:numPr>
      </w:pPr>
      <w:r>
        <w:t xml:space="preserve">Memory Usage;</w:t>
      </w:r>
    </w:p>
    <w:p>
      <w:pPr>
        <w:pStyle w:val="Compact"/>
        <w:numPr>
          <w:ilvl w:val="0"/>
          <w:numId w:val="1003"/>
        </w:numPr>
      </w:pPr>
      <w:r>
        <w:t xml:space="preserve">Disk Space;</w:t>
      </w:r>
    </w:p>
    <w:p>
      <w:pPr>
        <w:pStyle w:val="Compact"/>
        <w:numPr>
          <w:ilvl w:val="0"/>
          <w:numId w:val="1003"/>
        </w:numPr>
      </w:pPr>
      <w:r>
        <w:t xml:space="preserve">Network Traffic.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olítica-de-backup-amazon-s3"/>
    <w:p>
      <w:pPr>
        <w:pStyle w:val="Heading3"/>
      </w:pPr>
      <w:r>
        <w:t xml:space="preserve">3.2 Política de Backup – Amazon S3</w:t>
      </w:r>
    </w:p>
    <w:bookmarkStart w:id="26" w:name="frequência-de-backup"/>
    <w:p>
      <w:pPr>
        <w:pStyle w:val="Heading4"/>
      </w:pPr>
      <w:r>
        <w:t xml:space="preserve">Frequência de Backup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laboratoriais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corporativo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regulatórios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Pesquisas clínicas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</w:tbl>
    <w:bookmarkEnd w:id="26"/>
    <w:bookmarkStart w:id="27" w:name="política-de-retenção"/>
    <w:p>
      <w:pPr>
        <w:pStyle w:val="Heading4"/>
      </w:pPr>
      <w:r>
        <w:t xml:space="preserve">Política de Retenção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Standard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Glacier</w:t>
            </w:r>
          </w:p>
        </w:tc>
        <w:tc>
          <w:tcPr/>
          <w:p>
            <w:pPr>
              <w:pStyle w:val="Compact"/>
            </w:pPr>
            <w:r>
              <w:t xml:space="preserve">10 anos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monitoramento-via-cloudwatch"/>
    <w:p>
      <w:pPr>
        <w:pStyle w:val="Heading3"/>
      </w:pPr>
      <w:r>
        <w:t xml:space="preserve">3.3 Monitoramento via CloudWatch</w:t>
      </w:r>
    </w:p>
    <w:p>
      <w:pPr>
        <w:pStyle w:val="FirstParagraph"/>
      </w:pPr>
      <w:r>
        <w:t xml:space="preserve">Alertas configurados:</w:t>
      </w:r>
    </w:p>
    <w:p>
      <w:pPr>
        <w:pStyle w:val="Compact"/>
        <w:numPr>
          <w:ilvl w:val="0"/>
          <w:numId w:val="1004"/>
        </w:numPr>
      </w:pPr>
      <w:r>
        <w:t xml:space="preserve">Uso de CPU acima de 80%;</w:t>
      </w:r>
    </w:p>
    <w:p>
      <w:pPr>
        <w:pStyle w:val="Compact"/>
        <w:numPr>
          <w:ilvl w:val="0"/>
          <w:numId w:val="1004"/>
        </w:numPr>
      </w:pPr>
      <w:r>
        <w:t xml:space="preserve">Espaço em disco abaixo de 20%;</w:t>
      </w:r>
    </w:p>
    <w:p>
      <w:pPr>
        <w:pStyle w:val="Compact"/>
        <w:numPr>
          <w:ilvl w:val="0"/>
          <w:numId w:val="1004"/>
        </w:numPr>
      </w:pPr>
      <w:r>
        <w:t xml:space="preserve">Falha em aplicação crítica;</w:t>
      </w:r>
    </w:p>
    <w:p>
      <w:pPr>
        <w:pStyle w:val="Compact"/>
        <w:numPr>
          <w:ilvl w:val="0"/>
          <w:numId w:val="1004"/>
        </w:numPr>
      </w:pPr>
      <w:r>
        <w:t xml:space="preserve">Temperatura irregular em cadeia fria farmacêutica.</w:t>
      </w:r>
    </w:p>
    <w:p>
      <w:r>
        <w:pict>
          <v:rect style="width:0;height:1.5pt" o:hralign="center" o:hrstd="t" o:hr="t"/>
        </w:pict>
      </w:r>
    </w:p>
    <w:bookmarkEnd w:id="29"/>
    <w:bookmarkStart w:id="30" w:name="automação-via-lambda"/>
    <w:p>
      <w:pPr>
        <w:pStyle w:val="Heading3"/>
      </w:pPr>
      <w:r>
        <w:t xml:space="preserve">3.4 Automação via Lambda</w:t>
      </w:r>
    </w:p>
    <w:p>
      <w:pPr>
        <w:pStyle w:val="FirstParagraph"/>
      </w:pPr>
      <w:r>
        <w:t xml:space="preserve">Processos automatizados:</w:t>
      </w:r>
    </w:p>
    <w:p>
      <w:pPr>
        <w:pStyle w:val="Compact"/>
        <w:numPr>
          <w:ilvl w:val="0"/>
          <w:numId w:val="1005"/>
        </w:numPr>
      </w:pPr>
      <w:r>
        <w:t xml:space="preserve">Backup automático;</w:t>
      </w:r>
    </w:p>
    <w:p>
      <w:pPr>
        <w:pStyle w:val="Compact"/>
        <w:numPr>
          <w:ilvl w:val="0"/>
          <w:numId w:val="1005"/>
        </w:numPr>
      </w:pPr>
      <w:r>
        <w:t xml:space="preserve">Envio de e-mails operacionais;</w:t>
      </w:r>
    </w:p>
    <w:p>
      <w:pPr>
        <w:pStyle w:val="Compact"/>
        <w:numPr>
          <w:ilvl w:val="0"/>
          <w:numId w:val="1005"/>
        </w:numPr>
      </w:pPr>
      <w:r>
        <w:t xml:space="preserve">Alertas de indisponibilidade;</w:t>
      </w:r>
    </w:p>
    <w:p>
      <w:pPr>
        <w:pStyle w:val="Compact"/>
        <w:numPr>
          <w:ilvl w:val="0"/>
          <w:numId w:val="1005"/>
        </w:numPr>
      </w:pPr>
      <w:r>
        <w:t xml:space="preserve">Logs automatizados de auditoria.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cedimentos-de-segurança"/>
    <w:p>
      <w:pPr>
        <w:pStyle w:val="Heading2"/>
      </w:pPr>
      <w:r>
        <w:t xml:space="preserve">4. Procedimentos de Segurança</w:t>
      </w:r>
    </w:p>
    <w:p>
      <w:pPr>
        <w:pStyle w:val="Compact"/>
        <w:numPr>
          <w:ilvl w:val="0"/>
          <w:numId w:val="1006"/>
        </w:numPr>
      </w:pPr>
      <w:r>
        <w:t xml:space="preserve">MFA obrigatório;</w:t>
      </w:r>
    </w:p>
    <w:p>
      <w:pPr>
        <w:pStyle w:val="Compact"/>
        <w:numPr>
          <w:ilvl w:val="0"/>
          <w:numId w:val="1006"/>
        </w:numPr>
      </w:pPr>
      <w:r>
        <w:t xml:space="preserve">Rotação trimestral de credenciais;</w:t>
      </w:r>
    </w:p>
    <w:p>
      <w:pPr>
        <w:pStyle w:val="Compact"/>
        <w:numPr>
          <w:ilvl w:val="0"/>
          <w:numId w:val="1006"/>
        </w:numPr>
      </w:pPr>
      <w:r>
        <w:t xml:space="preserve">Criptografia AES-256 habilitada;</w:t>
      </w:r>
    </w:p>
    <w:p>
      <w:pPr>
        <w:pStyle w:val="Compact"/>
        <w:numPr>
          <w:ilvl w:val="0"/>
          <w:numId w:val="1006"/>
        </w:numPr>
      </w:pPr>
      <w:r>
        <w:t xml:space="preserve">Logs armazenados por 5 anos.</w:t>
      </w:r>
    </w:p>
    <w:p>
      <w:r>
        <w:pict>
          <v:rect style="width:0;height:1.5pt" o:hralign="center" o:hrstd="t" o:hr="t"/>
        </w:pict>
      </w:r>
    </w:p>
    <w:bookmarkEnd w:id="32"/>
    <w:bookmarkStart w:id="33" w:name="responsabilidades"/>
    <w:p>
      <w:pPr>
        <w:pStyle w:val="Heading2"/>
      </w:pPr>
      <w:r>
        <w:t xml:space="preserve">5.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Administração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Auditoria regulatória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Validação de processos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Gestão de acessos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2026-06-01T00:57:45Z</dcterms:created>
  <dcterms:modified xsi:type="dcterms:W3CDTF">2026-06-01T00:57:45Z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