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anexo-c-planilhas-e-documentos-técnicos"/>
    <w:p>
      <w:pPr>
        <w:pStyle w:val="Heading1"/>
      </w:pPr>
      <w:r>
        <w:t xml:space="preserve">ANEXO C – PLANILHAS E DOCUMENTOS TÉCNICOS</w:t>
      </w:r>
    </w:p>
    <w:bookmarkStart w:id="21" w:name="planilha-de-custos-aws-modelo"/>
    <w:p>
      <w:pPr>
        <w:pStyle w:val="Heading2"/>
      </w:pPr>
      <w:r>
        <w:t xml:space="preserve">1. Planilha de Custos AWS (modelo)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Serviço</w:t>
            </w:r>
          </w:p>
        </w:tc>
        <w:tc>
          <w:tcPr/>
          <w:p>
            <w:pPr>
              <w:pStyle w:val="Compact"/>
            </w:pPr>
            <w:r>
              <w:t xml:space="preserve">Configuração</w:t>
            </w:r>
          </w:p>
        </w:tc>
        <w:tc>
          <w:tcPr/>
          <w:p>
            <w:pPr>
              <w:pStyle w:val="Compact"/>
            </w:pPr>
            <w:r>
              <w:t xml:space="preserve">Quantidade</w:t>
            </w:r>
          </w:p>
        </w:tc>
        <w:tc>
          <w:tcPr/>
          <w:p>
            <w:pPr>
              <w:pStyle w:val="Compact"/>
            </w:pPr>
            <w:r>
              <w:t xml:space="preserve">Valor Estimado/Mês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EC2 t3.large</w:t>
            </w:r>
          </w:p>
        </w:tc>
        <w:tc>
          <w:tcPr/>
          <w:p>
            <w:pPr>
              <w:pStyle w:val="Compact"/>
            </w:pPr>
            <w:r>
              <w:t xml:space="preserve">ERP/LIMS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R$ 1.950,00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Amazon S3</w:t>
            </w:r>
          </w:p>
        </w:tc>
        <w:tc>
          <w:tcPr/>
          <w:p>
            <w:pPr>
              <w:pStyle w:val="Compact"/>
            </w:pPr>
            <w:r>
              <w:t xml:space="preserve">5 TB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R$ 680,00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S3 Glacier</w:t>
            </w:r>
          </w:p>
        </w:tc>
        <w:tc>
          <w:tcPr/>
          <w:p>
            <w:pPr>
              <w:pStyle w:val="Compact"/>
            </w:pPr>
            <w:r>
              <w:t xml:space="preserve">10 TB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R$ 240,00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Lambda</w:t>
            </w:r>
          </w:p>
        </w:tc>
        <w:tc>
          <w:tcPr/>
          <w:p>
            <w:pPr>
              <w:pStyle w:val="Compact"/>
            </w:pPr>
            <w:r>
              <w:t xml:space="preserve">3 milhões execuções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R$ 110,00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CloudWatch</w:t>
            </w:r>
          </w:p>
        </w:tc>
        <w:tc>
          <w:tcPr/>
          <w:p>
            <w:pPr>
              <w:pStyle w:val="Compact"/>
            </w:pPr>
            <w:r>
              <w:t xml:space="preserve">Logs + métricas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R$ 350,00</w:t>
            </w:r>
          </w:p>
        </w:tc>
      </w:tr>
    </w:tbl>
    <w:bookmarkStart w:id="20" w:name="total-estimado-mensal"/>
    <w:p>
      <w:pPr>
        <w:pStyle w:val="Heading3"/>
      </w:pPr>
      <w:r>
        <w:t xml:space="preserve">Total Estimado Mensal</w:t>
      </w:r>
    </w:p>
    <w:p>
      <w:pPr>
        <w:pStyle w:val="FirstParagraph"/>
      </w:pPr>
      <w:r>
        <w:rPr>
          <w:b/>
          <w:bCs/>
        </w:rPr>
        <w:t xml:space="preserve">R$ 3.330,00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checklist-de-segurança-e-compliance"/>
    <w:p>
      <w:pPr>
        <w:pStyle w:val="Heading2"/>
      </w:pPr>
      <w:r>
        <w:t xml:space="preserve">2. Checklist de Segurança e Compliance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MFA habilitado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Backup automatizado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Criptografia habilitada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Gestão de logs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Política de acesso mínimo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Conformidade LGPD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Auditoria periódica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cronograma-de-implementação"/>
    <w:p>
      <w:pPr>
        <w:pStyle w:val="Heading2"/>
      </w:pPr>
      <w:r>
        <w:t xml:space="preserve">3. Cronograma de Implementação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Fase</w:t>
            </w:r>
          </w:p>
        </w:tc>
        <w:tc>
          <w:tcPr/>
          <w:p>
            <w:pPr>
              <w:pStyle w:val="Compact"/>
            </w:pPr>
            <w:r>
              <w:t xml:space="preserve">Atividade</w:t>
            </w:r>
          </w:p>
        </w:tc>
        <w:tc>
          <w:tcPr/>
          <w:p>
            <w:pPr>
              <w:pStyle w:val="Compact"/>
            </w:pPr>
            <w:r>
              <w:t xml:space="preserve">Duração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Planejamento</w:t>
            </w:r>
          </w:p>
        </w:tc>
        <w:tc>
          <w:tcPr/>
          <w:p>
            <w:pPr>
              <w:pStyle w:val="Compact"/>
            </w:pPr>
            <w:r>
              <w:t xml:space="preserve">1 semana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Configuração EC2</w:t>
            </w:r>
          </w:p>
        </w:tc>
        <w:tc>
          <w:tcPr/>
          <w:p>
            <w:pPr>
              <w:pStyle w:val="Compact"/>
            </w:pPr>
            <w:r>
              <w:t xml:space="preserve">1 semana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Configuração S3</w:t>
            </w:r>
          </w:p>
        </w:tc>
        <w:tc>
          <w:tcPr/>
          <w:p>
            <w:pPr>
              <w:pStyle w:val="Compact"/>
            </w:pPr>
            <w:r>
              <w:t xml:space="preserve">4 dias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Implementação Lambda</w:t>
            </w:r>
          </w:p>
        </w:tc>
        <w:tc>
          <w:tcPr/>
          <w:p>
            <w:pPr>
              <w:pStyle w:val="Compact"/>
            </w:pPr>
            <w:r>
              <w:t xml:space="preserve">5 dias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Monitoramento CloudWatch</w:t>
            </w:r>
          </w:p>
        </w:tc>
        <w:tc>
          <w:tcPr/>
          <w:p>
            <w:pPr>
              <w:pStyle w:val="Compact"/>
            </w:pPr>
            <w:r>
              <w:t xml:space="preserve">3 dias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Testes</w:t>
            </w:r>
          </w:p>
        </w:tc>
        <w:tc>
          <w:tcPr/>
          <w:p>
            <w:pPr>
              <w:pStyle w:val="Compact"/>
            </w:pPr>
            <w:r>
              <w:t xml:space="preserve">1 semana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Go-live</w:t>
            </w:r>
          </w:p>
        </w:tc>
        <w:tc>
          <w:tcPr/>
          <w:p>
            <w:pPr>
              <w:pStyle w:val="Compact"/>
            </w:pPr>
            <w:r>
              <w:t xml:space="preserve">2 dias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inventário-de-recursos-aws"/>
    <w:p>
      <w:pPr>
        <w:pStyle w:val="Heading2"/>
      </w:pPr>
      <w:r>
        <w:t xml:space="preserve">4. Inventário de Recursos AWS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Recurso</w:t>
            </w:r>
          </w:p>
        </w:tc>
        <w:tc>
          <w:tcPr/>
          <w:p>
            <w:pPr>
              <w:pStyle w:val="Compact"/>
            </w:pPr>
            <w:r>
              <w:t xml:space="preserve">Nome</w:t>
            </w:r>
          </w:p>
        </w:tc>
        <w:tc>
          <w:tcPr/>
          <w:p>
            <w:pPr>
              <w:pStyle w:val="Compact"/>
            </w:pPr>
            <w:r>
              <w:t xml:space="preserve">Finalidade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EC2</w:t>
            </w:r>
          </w:p>
        </w:tc>
        <w:tc>
          <w:tcPr/>
          <w:p>
            <w:pPr>
              <w:pStyle w:val="Compact"/>
            </w:pPr>
            <w:r>
              <w:t xml:space="preserve">abstergo-prod-erp</w:t>
            </w:r>
          </w:p>
        </w:tc>
        <w:tc>
          <w:tcPr/>
          <w:p>
            <w:pPr>
              <w:pStyle w:val="Compact"/>
            </w:pPr>
            <w:r>
              <w:t xml:space="preserve">ERP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EC2</w:t>
            </w:r>
          </w:p>
        </w:tc>
        <w:tc>
          <w:tcPr/>
          <w:p>
            <w:pPr>
              <w:pStyle w:val="Compact"/>
            </w:pPr>
            <w:r>
              <w:t xml:space="preserve">abstergo-lims</w:t>
            </w:r>
          </w:p>
        </w:tc>
        <w:tc>
          <w:tcPr/>
          <w:p>
            <w:pPr>
              <w:pStyle w:val="Compact"/>
            </w:pPr>
            <w:r>
              <w:t xml:space="preserve">Laboratório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S3</w:t>
            </w:r>
          </w:p>
        </w:tc>
        <w:tc>
          <w:tcPr/>
          <w:p>
            <w:pPr>
              <w:pStyle w:val="Compact"/>
            </w:pPr>
            <w:r>
              <w:t xml:space="preserve">abstergo-docs</w:t>
            </w:r>
          </w:p>
        </w:tc>
        <w:tc>
          <w:tcPr/>
          <w:p>
            <w:pPr>
              <w:pStyle w:val="Compact"/>
            </w:pPr>
            <w:r>
              <w:t xml:space="preserve">Documentos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Glacier</w:t>
            </w:r>
          </w:p>
        </w:tc>
        <w:tc>
          <w:tcPr/>
          <w:p>
            <w:pPr>
              <w:pStyle w:val="Compact"/>
            </w:pPr>
            <w:r>
              <w:t xml:space="preserve">abstergo-archive</w:t>
            </w:r>
          </w:p>
        </w:tc>
        <w:tc>
          <w:tcPr/>
          <w:p>
            <w:pPr>
              <w:pStyle w:val="Compact"/>
            </w:pPr>
            <w:r>
              <w:t xml:space="preserve">Arquivos históricos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Lambda</w:t>
            </w:r>
          </w:p>
        </w:tc>
        <w:tc>
          <w:tcPr/>
          <w:p>
            <w:pPr>
              <w:pStyle w:val="Compact"/>
            </w:pPr>
            <w:r>
              <w:t xml:space="preserve">notify-temp-alert</w:t>
            </w:r>
          </w:p>
        </w:tc>
        <w:tc>
          <w:tcPr/>
          <w:p>
            <w:pPr>
              <w:pStyle w:val="Compact"/>
            </w:pPr>
            <w:r>
              <w:t xml:space="preserve">Alertas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CloudWatch</w:t>
            </w:r>
          </w:p>
        </w:tc>
        <w:tc>
          <w:tcPr/>
          <w:p>
            <w:pPr>
              <w:pStyle w:val="Compact"/>
            </w:pPr>
            <w:r>
              <w:t xml:space="preserve">abstergo-monitor</w:t>
            </w:r>
          </w:p>
        </w:tc>
        <w:tc>
          <w:tcPr/>
          <w:p>
            <w:pPr>
              <w:pStyle w:val="Compact"/>
            </w:pPr>
            <w:r>
              <w:t xml:space="preserve">Monitoramento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8" w:name="X67b2ff77e09578d848c0eeef2c5199af066dc11"/>
    <w:p>
      <w:pPr>
        <w:pStyle w:val="Heading2"/>
      </w:pPr>
      <w:r>
        <w:t xml:space="preserve">5. Plano de Continuidade e Recuperação de Desastres</w:t>
      </w:r>
    </w:p>
    <w:bookmarkStart w:id="25" w:name="objetivo"/>
    <w:p>
      <w:pPr>
        <w:pStyle w:val="Heading3"/>
      </w:pPr>
      <w:r>
        <w:t xml:space="preserve">Objetivo</w:t>
      </w:r>
    </w:p>
    <w:p>
      <w:pPr>
        <w:pStyle w:val="FirstParagraph"/>
      </w:pPr>
      <w:r>
        <w:t xml:space="preserve">Garantir recuperação rápida dos sistemas críticos.</w:t>
      </w:r>
    </w:p>
    <w:bookmarkEnd w:id="25"/>
    <w:bookmarkStart w:id="26" w:name="estratégia"/>
    <w:p>
      <w:pPr>
        <w:pStyle w:val="Heading3"/>
      </w:pPr>
      <w:r>
        <w:t xml:space="preserve">Estratégia</w:t>
      </w:r>
    </w:p>
    <w:p>
      <w:pPr>
        <w:pStyle w:val="FirstParagraph"/>
      </w:pPr>
      <w:r>
        <w:rPr>
          <w:b/>
          <w:bCs/>
        </w:rPr>
        <w:t xml:space="preserve">RPO (Recovery Point Objective):</w:t>
      </w:r>
      <w:r>
        <w:t xml:space="preserve"> </w:t>
      </w:r>
      <w:r>
        <w:t xml:space="preserve">4 horas</w:t>
      </w:r>
      <w:r>
        <w:br/>
      </w:r>
      <w:r>
        <w:rPr>
          <w:b/>
          <w:bCs/>
        </w:rPr>
        <w:t xml:space="preserve">RTO (Recovery Time Objective):</w:t>
      </w:r>
      <w:r>
        <w:t xml:space="preserve"> </w:t>
      </w:r>
      <w:r>
        <w:t xml:space="preserve">2 horas</w:t>
      </w:r>
    </w:p>
    <w:bookmarkEnd w:id="26"/>
    <w:bookmarkStart w:id="27" w:name="processo"/>
    <w:p>
      <w:pPr>
        <w:pStyle w:val="Heading3"/>
      </w:pPr>
      <w:r>
        <w:t xml:space="preserve">Processo</w:t>
      </w:r>
    </w:p>
    <w:p>
      <w:pPr>
        <w:pStyle w:val="Compact"/>
        <w:numPr>
          <w:ilvl w:val="0"/>
          <w:numId w:val="1001"/>
        </w:numPr>
      </w:pPr>
      <w:r>
        <w:t xml:space="preserve">Identificação do incidente;</w:t>
      </w:r>
    </w:p>
    <w:p>
      <w:pPr>
        <w:pStyle w:val="Compact"/>
        <w:numPr>
          <w:ilvl w:val="0"/>
          <w:numId w:val="1001"/>
        </w:numPr>
      </w:pPr>
      <w:r>
        <w:t xml:space="preserve">Ativação do plano;</w:t>
      </w:r>
    </w:p>
    <w:p>
      <w:pPr>
        <w:pStyle w:val="Compact"/>
        <w:numPr>
          <w:ilvl w:val="0"/>
          <w:numId w:val="1001"/>
        </w:numPr>
      </w:pPr>
      <w:r>
        <w:t xml:space="preserve">Recuperação via snapshots;</w:t>
      </w:r>
    </w:p>
    <w:p>
      <w:pPr>
        <w:pStyle w:val="Compact"/>
        <w:numPr>
          <w:ilvl w:val="0"/>
          <w:numId w:val="1001"/>
        </w:numPr>
      </w:pPr>
      <w:r>
        <w:t xml:space="preserve">Restauração S3;</w:t>
      </w:r>
    </w:p>
    <w:p>
      <w:pPr>
        <w:pStyle w:val="Compact"/>
        <w:numPr>
          <w:ilvl w:val="0"/>
          <w:numId w:val="1001"/>
        </w:numPr>
      </w:pPr>
      <w:r>
        <w:t xml:space="preserve">Validação do ambiente;</w:t>
      </w:r>
    </w:p>
    <w:p>
      <w:pPr>
        <w:pStyle w:val="Compact"/>
        <w:numPr>
          <w:ilvl w:val="0"/>
          <w:numId w:val="1001"/>
        </w:numPr>
      </w:pPr>
      <w:r>
        <w:t xml:space="preserve">Retorno operacional.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Fim dos Anexos Técnicos</w:t>
      </w:r>
    </w:p>
    <w:bookmarkEnd w:id="27"/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2026-06-01T00:58:11Z</dcterms:created>
  <dcterms:modified xsi:type="dcterms:W3CDTF">2026-06-01T00:58:11Z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