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06C" w:rsidRDefault="0036606C">
      <w:pPr>
        <w:pStyle w:val="Ttulo"/>
        <w:jc w:val="center"/>
        <w:spacing w:before="240" w:after="240"/>
      </w:pPr>
      <w:r>
        <w:rPr>
          <w:b/>
          <w:sz w:val="36"/>
          <w:szCs w:val="36"/>
          <w:color w:val="1E3A8A"/>
        </w:rPr>
        <w:t>DOCUMENTAÇÃO TÉCNICA DO SISTEMA DE FACTURAÇÃO KIMA WEB</w:t>
      </w:r>
    </w:p>
    <w:p w:rsidR="0036606C" w:rsidRDefault="0036606C">
      <w:pPr>
        <w:jc w:val="center"/>
        <w:spacing w:after="360"/>
      </w:pPr>
      <w:r>
        <w:rPr>
          <w:i/>
          <w:sz w:val="24"/>
          <w:szCs w:val="24"/>
          <w:color w:val="4B5563"/>
        </w:rPr>
        <w:t>Especificações da Arquitetura, Tecnologias, Módulos Comerciais e Núcleo Criptográfico AGT</w:t>
      </w:r>
    </w:p>
    <w:tbl>
      <w:tblPr>
        <w:tblW w:w="9000" w:type="dxa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Nome do Sistema: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Kima Facturação Web (Kima Financeiro)</w:t>
            </w:r>
          </w:p>
        </w:tc>
      </w:t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Entidade / Emissor: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RC MEDIA ANGOLA – PRESTAÇÃO DE SERVIÇOS, LDA</w:t>
            </w:r>
          </w:p>
        </w:tc>
      </w:t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Legislação Base (Angola):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Decreto Presidencial n.º 71/25, Decreto Executivo n.º 683/25, Decreto Presidencial n.º 312/18</w:t>
            </w:r>
          </w:p>
        </w:tc>
      </w:t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Moeda Padrão: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Kwanza Angolano (AOA / Kz)</w:t>
            </w:r>
          </w:p>
        </w:tc>
      </w:t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Versão do Documento: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1.0 (Versão de Produção &amp; Certificação AGT)</w:t>
            </w:r>
          </w:p>
        </w:tc>
      </w:tr>
      <w:tr>
        <w:tc>
          <w:tcPr>
            <w:tcW w:w="3000" w:type="dxa"/>
            <w:shd w:val="clear" w:color="auto" w:fill="F1F5F9"/>
            <w:tcMar>
              <w:top w:w="120"/>
              <w:bottom w:w="120"/>
              <w:left w:w="180"/>
              <w:right w:w="180"/>
            </w:tcMar>
          </w:tcPr>
          <w:p>
            <w:r>
              <w:rPr>
                <w:b/>
                <w:color w:val="1E293B"/>
              </w:rPr>
              <w:t>Data de Emissão:</w:t>
            </w:r>
          </w:p>
        </w:tc>
        <w:tc>
          <w:tcPr>
            <w:tcW w:w="6000" w:type="dxa"/>
            <w:shd w:val="clear" w:color="auto" w:fill="FFFFFF"/>
            <w:tcMar>
              <w:top w:w="120"/>
              <w:bottom w:w="120"/>
              <w:left w:w="180"/>
              <w:right w:w="180"/>
            </w:tcMar>
          </w:tcPr>
          <w:p>
            <w:r>
              <w:t>Agosto de 2026</w:t>
            </w:r>
          </w:p>
        </w:tc>
      </w:tr>
    </w:tbl>
    <w:p>
      <w:pPr>
        <w:spacing w:after="240"/>
      </w:pP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1. Introdução e Visão Geral do Sistema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Kima Facturação Web é uma solução tecnológica avançada de gestão comercial e faturação eletrónica, desenvolvida especificamente para atender às exigências operacionais e fiscais de empresas a operar na República de Angola. O sistema foi concebido para cobrir integralmente desde micro e pequenas empresas até médias e grandes corporações, garantindo agilidade na emissão de documentos comerciais, rigoroso controlo financeiro e total conformidade com a legislação tributária angolana.</w:t>
      </w:r>
    </w:p>
    <w:tbl>
      <w:tblPr>
        <w:tblW w:w="9000" w:type="dxa"/>
        <w:tblBorders>
          <w:top w:val="none"/>
          <w:bottom w:val="none"/>
          <w:left w:val="single" w:sz="24" w:space="0" w:color="2563EB"/>
          <w:right w:val="none"/>
          <w:insideH w:val="none"/>
          <w:insideV w:val="none"/>
        </w:tblBorders>
      </w:tblPr>
      <w:tr>
        <w:tc>
          <w:tcPr>
            <w:tcW w:w="9000" w:type="dxa"/>
            <w:shd w:val="clear" w:color="auto" w:fill="EFF6FF"/>
            <w:tcMar>
              <w:top w:w="160"/>
              <w:bottom w:w="160"/>
              <w:left w:w="240"/>
              <w:right w:w="200"/>
            </w:tcMar>
          </w:tcPr>
          <w:p>
            <w:r>
              <w:rPr>
                <w:b/>
                <w:color w:val="2563EB"/>
                <w:sz w:val="22"/>
                <w:szCs w:val="22"/>
              </w:rPr>
              <w:t>Enquadramento Legal e Fiscal em Angola (AGT)</w:t>
            </w:r>
          </w:p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>O sistema responde rigorosamente às diretrizes da Administração Geral Tributária (AGT) no âmbito da transição para a faturação eletrónica e certificação de software fiscal (Decreto Presidencial n.º 71/25 e normativos complementares). O Kima Facturação Web integra mecanismos nativos de imutabilidade, criptografia assimétrica, assinaturas digitais JWS, geração de código QR e exportação normalizada do ficheiro SAF-T (AO).</w:t>
            </w:r>
          </w:p>
        </w:tc>
      </w:tr>
    </w:tbl>
    <w:p>
      <w:pPr>
        <w:spacing w:after="200"/>
      </w:pP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Principais Objetivos Operacionais: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Fluxo Operacional: </w:t>
      </w:r>
      <w:r>
        <w:rPr>
          <w:sz w:val="22"/>
          <w:szCs w:val="22"/>
        </w:rPr>
        <w:t>Simplificação do fluxo de faturação através de um assistente (wizard) intuitivo em 3 passos.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Tipos de Documentos: </w:t>
      </w:r>
      <w:r>
        <w:rPr>
          <w:sz w:val="22"/>
          <w:szCs w:val="22"/>
        </w:rPr>
        <w:t>Emissão de múltiplos tipos de documentos comerciais (Facturas, Facturas-Recibo, Facturas Simplificadas, Notas de Crédito, Notas de Débito, Orçamentos e Guias de Remessa).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Regime Fiscal IVA: </w:t>
      </w:r>
      <w:r>
        <w:rPr>
          <w:sz w:val="22"/>
          <w:szCs w:val="22"/>
        </w:rPr>
        <w:t>Aplicação automatizada das alíquotas de IVA em vigor em Angola (14% Taxa Geral, 7% Taxa Reduzida, 0% Isento) com associação dos respetivos códigos e motivos de isenção fiscal.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Segurança &amp; Auditoria: </w:t>
      </w:r>
      <w:r>
        <w:rPr>
          <w:sz w:val="22"/>
          <w:szCs w:val="22"/>
        </w:rPr>
        <w:t>Criptografia avançada RSA-SHA256, garantindo imutabilidade de faturas já emitidas e encadeamento fiscal de hashes.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Relatórios &amp; PDF: </w:t>
      </w:r>
      <w:r>
        <w:rPr>
          <w:sz w:val="22"/>
          <w:szCs w:val="22"/>
        </w:rPr>
        <w:t>Geração instantânea de PDFs profissionais e relatórios de fecho de caixa, balancete de IVA e declarações periódicas.</w:t>
      </w: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2. Arquitetura Tecnológica e Stack de Desenvolvimento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A arquitetura do Kima Facturação Web foi projetada seguindo os princípios de modularidade, escalabilidade, segurança e elevada performance reativa. O ecossistema combina as tecnologias mais modernas do desenvolvimento web contemporâneo: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r>
        <w:tc>
          <w:tcPr>
            <w:tcW w:w="22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Camada da Arquitetura</w:t>
            </w:r>
          </w:p>
        </w:tc>
        <w:tc>
          <w:tcPr>
            <w:tcW w:w="24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Tecnologia Utilizada</w:t>
            </w:r>
          </w:p>
        </w:tc>
        <w:tc>
          <w:tcPr>
            <w:tcW w:w="16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Versão / Especificação</w:t>
            </w:r>
          </w:p>
        </w:tc>
        <w:tc>
          <w:tcPr>
            <w:tcW w:w="28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Papel no Sistema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Frontend / App Router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Next.js (React 19)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v16.3.0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Renderização Server-Side (SSR) e Client-Side otimizada, rotas dinâmicas e Server Actions.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Linguagem Base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TypeScript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v5.7.3</w:t>
            </w:r>
          </w:p>
        </w:tc>
        <w:tc>
          <w:tcPr>
            <w:tcW w:w="28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Tipagem estática estrita ponta a ponta, prevenção de erros e contratos de dados seguros.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Estilização &amp; UI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Tailwind CSS + Shadcn/ui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v4.3.3 / Base UI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Interface responsiva moderna, acessível, componentes com temas dinâmicos e de alto desempenho.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Gestão de Estado Global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Zustand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v5.0.14</w:t>
            </w:r>
          </w:p>
        </w:tc>
        <w:tc>
          <w:tcPr>
            <w:tcW w:w="28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Armazenamento reativo leve com suporte a persistência e reidratação de estado.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Formulários e Validação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React Hook Form + Zod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v7.84 / v4.4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Validação rigorosa de esquemas de dados em tempo real (ex: formato de NIF, IVA e totais).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Base de Dados / ORM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Supabase (PostgreSQL) + Drizzle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Drizzle ORM v0.45</w:t>
            </w:r>
          </w:p>
        </w:tc>
        <w:tc>
          <w:tcPr>
            <w:tcW w:w="28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Banco de dados relacional (schema kima_facturas) com controlo de migrações e auditoria.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Motor Criptográfico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Node.js Crypto Engine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Native Crypto Module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Geração de pares de chaves RSA 2048-bit, hash SHA-256 encadeado e assinaturas JWS.</w:t>
            </w:r>
          </w:p>
        </w:tc>
      </w:tr>
      <w:tr>
        <w:tc>
          <w:tcPr>
            <w:tcW w:w="22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Geração de Documentos PDF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jsPDF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v4.2.1</w:t>
            </w:r>
          </w:p>
        </w:tc>
        <w:tc>
          <w:tcPr>
            <w:tcW w:w="28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Geração dinâmica de documentos PDF no browser/servidor com layouts profissionais e QR Code.</w:t>
            </w:r>
          </w:p>
        </w:tc>
      </w:tr>
      <w:tr>
        <w:tc>
          <w:tcPr>
            <w:tcW w:w="22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Exportação &amp; Validação Fiscal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SAF-T (AO) Exporter + XSD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Esquema AGT 2026</w:t>
            </w:r>
          </w:p>
        </w:tc>
        <w:tc>
          <w:tcPr>
            <w:tcW w:w="28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Geração de XML SAF-T (AO) e validação automática por esquema XSD antes do envio.</w:t>
            </w:r>
          </w:p>
        </w:tc>
      </w:tr>
    </w:tbl>
    <w:p>
      <w:pPr>
        <w:spacing w:after="240"/>
      </w:pP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2.1 Detalhes das Camadas de Software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1. Frontend &amp; Renderização Server Components: O uso do Next.js 16 com a App Router permite que páginas pesadas de listagem e processamento sejam compiladas no servidor, reduzindo o tempo de carregamento no cliente final. O Tailwind CSS v4 garante uma experiência uniforme em dispositivos móveis e desktops.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2. Persistência Híbrida (Supabase PostgreSQL + LocalStorage): O sistema suporta sincronização em nuvem via Supabase PostgreSQL (schema kima_facturas) com tolerância a falhas através de reidratação local em localStorage para operação offline temporária.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3. Motor Criptográfico de Assinatura Digital: Integrado diretamente nas APIs do servidor Node.js/Next.js, este módulo é responsável por calcular o Hash Fiscal imutável e gerar a assinatura JWS antes da gravação final do documento no banco de dados.</w:t>
      </w: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3. Módulos Funcionais e Recursos do Sistema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Kima Facturação Web está estruturado em vários módulos integrados que cobrem todo o fluxo operacional de uma empresa.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3.1 Dashboard Inteligente e Métricas KPI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Dashboard oferece uma visão panorâmica instantânea da saúde financeira da empresa em tempo real, incluindo: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Métricas Financeiras: </w:t>
      </w:r>
      <w:r>
        <w:rPr>
          <w:sz w:val="22"/>
          <w:szCs w:val="22"/>
        </w:rPr>
        <w:t>Total Faturado no mês e no ano comercial (em Kz).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Controlo de Cobrança: </w:t>
      </w:r>
      <w:r>
        <w:rPr>
          <w:sz w:val="22"/>
          <w:szCs w:val="22"/>
        </w:rPr>
        <w:t>Total de Faturas Pendentes de pagamento com alertas de vencimento.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Volume Comercial: </w:t>
      </w:r>
      <w:r>
        <w:rPr>
          <w:sz w:val="22"/>
          <w:szCs w:val="22"/>
        </w:rPr>
        <w:t>Número total de clientes registados e volume de transações.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Histórico Recente: </w:t>
      </w:r>
      <w:r>
        <w:rPr>
          <w:sz w:val="22"/>
          <w:szCs w:val="22"/>
        </w:rPr>
        <w:t>Tabela com as últimas faturas emitidas e acesso rápido ao download de PDF.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3.2 Gestão de Clientes e Validação de NIF Angolano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módulo de clientes permite gerir a base de dados de compradores com validação automática de dados fiscais: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Validação de NIF: </w:t>
      </w:r>
      <w:r>
        <w:rPr>
          <w:sz w:val="22"/>
          <w:szCs w:val="22"/>
        </w:rPr>
        <w:t>Módulo 11 para NIFs de Pessoas Coletivas (iniciados por 500...) e Pessoas Singulares / Bilhete de Identidade (BI). Impede a emissão de faturas com NIFs inválidos.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Campos Suportados: </w:t>
      </w:r>
      <w:r>
        <w:rPr>
          <w:sz w:val="22"/>
          <w:szCs w:val="22"/>
        </w:rPr>
        <w:t>Nome/Razão Social, NIF, Endereço Fiscal, Telefone, E-mail e Tipo de Contribuinte.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Pesquisa Avançada: </w:t>
      </w:r>
      <w:r>
        <w:rPr>
          <w:sz w:val="22"/>
          <w:szCs w:val="22"/>
        </w:rPr>
        <w:t>Pesquisa em tempo real por NIF ou Razão Social com filtros de estado.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3.3 Gestão de Catálogo de Artigos, Serviços e IVA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cadastro de produtos e serviços suporta toda a parametrização fiscal exigida em Angola: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r>
        <w:tc>
          <w:tcPr>
            <w:tcW w:w="20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Taxa de IVA</w:t>
            </w:r>
          </w:p>
        </w:tc>
        <w:tc>
          <w:tcPr>
            <w:tcW w:w="24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Aplicação Principal</w:t>
            </w:r>
          </w:p>
        </w:tc>
        <w:tc>
          <w:tcPr>
            <w:tcW w:w="26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Motivo de Isenção / Base Legal</w:t>
            </w:r>
          </w:p>
        </w:tc>
        <w:tc>
          <w:tcPr>
            <w:tcW w:w="20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Exemplo de Uso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14% (Taxa Geral)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Regime Geral de IVA</w:t>
            </w:r>
          </w:p>
        </w:tc>
        <w:tc>
          <w:tcPr>
            <w:tcW w:w="2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Não aplicável (Taxável)</w:t>
            </w:r>
          </w:p>
        </w:tc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Venda de bens de consumo, prestação de serviços gerais.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7% (Taxa Reduzida)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Regime Simplificado / Bens Essenciais</w:t>
            </w:r>
          </w:p>
        </w:tc>
        <w:tc>
          <w:tcPr>
            <w:tcW w:w="2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Não aplicável (Taxável)</w:t>
            </w:r>
          </w:p>
        </w:tc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Produtos da cesta básica, insumos agrícolas, PME simplificadas.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0% (Isento)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Operações Isentas de IVA</w:t>
            </w:r>
          </w:p>
        </w:tc>
        <w:tc>
          <w:tcPr>
            <w:tcW w:w="2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Exigida seleção do código legal (ex: Artigo 12.º do CIVA)</w:t>
            </w:r>
          </w:p>
        </w:tc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Serviços de saúde, educação, exportações, medicamentos.</w:t>
            </w:r>
          </w:p>
        </w:tc>
      </w:tr>
    </w:tbl>
    <w:p>
      <w:pPr>
        <w:spacing w:after="240"/>
      </w:pP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3.4 Assistente de Emissão de Faturas (Wizard em 3 Passos)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A criação de novos documentos fiscais foi otimizada para ser concluída em menos de 1 minuto: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Passo 1 - Cliente &amp; Série: </w:t>
      </w:r>
      <w:r>
        <w:rPr>
          <w:sz w:val="22"/>
          <w:szCs w:val="22"/>
        </w:rPr>
        <w:t>Seleção do cliente com auto-preenchimento dos dados fiscais e escolha da Série de Emissão.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Passo 2 - Linhas do Documento: </w:t>
      </w:r>
      <w:r>
        <w:rPr>
          <w:sz w:val="22"/>
          <w:szCs w:val="22"/>
        </w:rPr>
        <w:t>Adição de produtos/serviços, definição de quantidades, preços unitários e descontos. Cálculo automático do IVA por linha e subtotal.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Passo 3 - Emissão &amp; Assinatura: </w:t>
      </w:r>
      <w:r>
        <w:rPr>
          <w:sz w:val="22"/>
          <w:szCs w:val="22"/>
        </w:rPr>
        <w:t>Seleção do método de pagamento (Multicaixa, Transferência, TPA, Numerário), revisão dos totais, assinatura criptográfica JWS, geração de Hash e emissão do PDF com QR Code.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3.5 Gestão de Tipos de Documentos Comerciais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sistema gera e gere os seguintes tipos de documentos estritamente normalizados: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FT: </w:t>
      </w:r>
      <w:r>
        <w:rPr>
          <w:sz w:val="22"/>
          <w:szCs w:val="22"/>
        </w:rPr>
        <w:t>Factura (FT) - Documento de crédito comercial.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FR: </w:t>
      </w:r>
      <w:r>
        <w:rPr>
          <w:sz w:val="22"/>
          <w:szCs w:val="22"/>
        </w:rPr>
        <w:t>Factura-Recibo (FR) - Documento de liquidação simultânea e pronto pagamento.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FS: </w:t>
      </w:r>
      <w:r>
        <w:rPr>
          <w:sz w:val="22"/>
          <w:szCs w:val="22"/>
        </w:rPr>
        <w:t>Factura Simplificada (FS) - Para vendas diretas ao consumidor final.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NC: </w:t>
      </w:r>
      <w:r>
        <w:rPr>
          <w:sz w:val="22"/>
          <w:szCs w:val="22"/>
        </w:rPr>
        <w:t>Nota de Crédito (NC) - Para retificação ou anulação de faturas emitidas (com referência obrigatória ao documento de origem).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ND: </w:t>
      </w:r>
      <w:r>
        <w:rPr>
          <w:sz w:val="22"/>
          <w:szCs w:val="22"/>
        </w:rPr>
        <w:t>Nota de Débito (ND) - Para acréscimos de valor a faturas existentes.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OR / GR: </w:t>
      </w:r>
      <w:r>
        <w:rPr>
          <w:sz w:val="22"/>
          <w:szCs w:val="22"/>
        </w:rPr>
        <w:t>Orçamento (OR) e Guia de Remessa (GR) - Documentos informativos e de transporte.</w:t>
      </w: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4. Núcleo Criptográfico e Conformidade Fiscal AGT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Para cumprir os requisitos obrigatórios de certificação da AGT (Decreto Presidencial n.º 71/25 e Decreto Executivo n.º 683/25), o Kima Facturação Web implementa um motor de segurança de dados de nível bancário.</w:t>
      </w:r>
    </w:p>
    <w:tbl>
      <w:tblPr>
        <w:tblW w:w="9000" w:type="dxa"/>
        <w:tblBorders>
          <w:top w:val="none"/>
          <w:bottom w:val="none"/>
          <w:left w:val="single" w:sz="24" w:space="0" w:color="D97706"/>
          <w:right w:val="none"/>
          <w:insideH w:val="none"/>
          <w:insideV w:val="none"/>
        </w:tblBorders>
      </w:tblPr>
      <w:tr>
        <w:tc>
          <w:tcPr>
            <w:tcW w:w="9000" w:type="dxa"/>
            <w:shd w:val="clear" w:color="auto" w:fill="FFFBEB"/>
            <w:tcMar>
              <w:top w:w="160"/>
              <w:bottom w:w="160"/>
              <w:left w:w="240"/>
              <w:right w:w="200"/>
            </w:tcMar>
          </w:tcPr>
          <w:p>
            <w:r>
              <w:rPr>
                <w:b/>
                <w:color w:val="D97706"/>
                <w:sz w:val="22"/>
                <w:szCs w:val="22"/>
              </w:rPr>
              <w:t>Mecanismo de Imutabilidade e Hash Encadeado (Chain of Trust)</w:t>
            </w:r>
          </w:p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>Cada documento fiscal emitido gera um Hash SHA-256 único. Para garantir a impossibilidade de alteração ou inserção fraudulenta de documentos no passado, o cálculo do Hash do documento N inclui os caracteres do Hash do documento N-1 da mesma série. Qualquer tentativa de alteração inviabiliza a cadeia de custódia.</w:t>
            </w:r>
          </w:p>
        </w:tc>
      </w:tr>
    </w:tbl>
    <w:p>
      <w:pPr>
        <w:spacing w:after="200"/>
      </w:pP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4.1 Especificação dos Componentes de Criptografia Fiscal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Fiscal Hash: </w:t>
      </w:r>
      <w:r>
        <w:rPr>
          <w:sz w:val="22"/>
          <w:szCs w:val="22"/>
        </w:rPr>
        <w:t>Algoritmo SHA-256 aplicado sobre os campos essenciais: Data de Emissão + Data de Criação + Número do Documento + Total Geral + Hash Anterior.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Assinatura JWS (RSA-2048): </w:t>
      </w:r>
      <w:r>
        <w:rPr>
          <w:sz w:val="22"/>
          <w:szCs w:val="22"/>
        </w:rPr>
        <w:t>Par de chaves RSA de 2048-bit gerado exclusivamente para a empresa. A chave privada assina o hash do documento gerando um JWS que comprova a autoria do sistema.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Código QR AGT: </w:t>
      </w:r>
      <w:r>
        <w:rPr>
          <w:sz w:val="22"/>
          <w:szCs w:val="22"/>
        </w:rPr>
        <w:t>Código QR impresso no canto do documento PDF contendo a URL oficial de validação da AGT, NIF da Empresa, NIF do Cliente, Tipo de Documento, Número, Data, Valor Total, Valor do IVA e Hash Fiscal.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Séries Auditáveis: </w:t>
      </w:r>
      <w:r>
        <w:rPr>
          <w:sz w:val="22"/>
          <w:szCs w:val="22"/>
        </w:rPr>
        <w:t>Numeração sequencial contínua por Série e Tipo de Documento (ex: A/000001, A/000002). O sistema impede buracos ou duplicações na numeração.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N.º de Certificado AGT: </w:t>
      </w:r>
      <w:r>
        <w:rPr>
          <w:sz w:val="22"/>
          <w:szCs w:val="22"/>
        </w:rPr>
        <w:t>Inclusão obrigatória no cabeçalho dos documentos do número de validação atribuído pela AGT (ex: 999/AGT/2026).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4.2 Exportador SAF-T (AO) e Validação XSD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ficheiro SAF-T (AO) (Standard Audit File for Tax Purposes - Angola) é o padrão de exportação obrigatório para prestação de contas à AGT: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Estrutura XML SAF-T: </w:t>
      </w:r>
      <w:r>
        <w:rPr>
          <w:sz w:val="22"/>
          <w:szCs w:val="22"/>
        </w:rPr>
        <w:t>Estruturação de dados contendo Header, MasterFiles (Clientes, Produtos, Tabela de Impostos) e SourceDocuments (Faturas, Notas de Crédito/Débito, Pagamentos).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Validação XSD: </w:t>
      </w:r>
      <w:r>
        <w:rPr>
          <w:sz w:val="22"/>
          <w:szCs w:val="22"/>
        </w:rPr>
        <w:t>Antes da transferência do ficheiro ao utilizador, o motor executa uma validação em tempo real contra o esquema XSD oficial da AGT (saft-ao.xsd), garantindo zero inconsistências sintáticas.</w:t>
      </w: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5. Modelo de Dados e Esquema de Base de Dados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A estrutura de dados foi desenhada no Supabase PostgreSQL (schema kima_facturas) garantindo integridade referencial, índices de alta velocidade e histórico de auditoria imutável.</w:t>
      </w:r>
    </w:p>
    <w:tbl>
      <w:tblPr>
        <w:tblW w:w="9000" w:type="dxa"/>
        <w:tblBorders>
          <w:top w:val="single" w:sz="6" w:space="0" w:color="CBD5E1"/>
          <w:bottom w:val="single" w:sz="6" w:space="0" w:color="CBD5E1"/>
          <w:insideH w:val="single" w:sz="4" w:space="0" w:color="E2E8F0"/>
          <w:insideV w:val="single" w:sz="4" w:space="0" w:color="E2E8F0"/>
          <w:left w:val="single" w:sz="4" w:space="0" w:color="CBD5E1"/>
          <w:right w:val="single" w:sz="4" w:space="0" w:color="CBD5E1"/>
        </w:tblBorders>
      </w:tblPr>
      <w:tr>
        <w:tc>
          <w:tcPr>
            <w:tcW w:w="20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Nome da Tabela</w:t>
            </w:r>
          </w:p>
        </w:tc>
        <w:tc>
          <w:tcPr>
            <w:tcW w:w="16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Chave Primária</w:t>
            </w:r>
          </w:p>
        </w:tc>
        <w:tc>
          <w:tcPr>
            <w:tcW w:w="24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Descrição da Entidade</w:t>
            </w:r>
          </w:p>
        </w:tc>
        <w:tc>
          <w:tcPr>
            <w:tcW w:w="3000" w:type="dxa"/>
            <w:shd w:val="clear" w:color="auto" w:fill="1E3A8A"/>
            <w:tcMar>
              <w:top w:w="140"/>
              <w:bottom w:w="140"/>
              <w:left w:w="140"/>
              <w:right w:w="140"/>
            </w:tcMar>
          </w:tcPr>
          <w:p>
            <w:r>
              <w:rPr>
                <w:b/>
                <w:color w:val="FFFFFF"/>
                <w:sz w:val="20"/>
                <w:szCs w:val="20"/>
              </w:rPr>
              <w:t>Campos Chave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companies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Dados da empresa emissora</w:t>
            </w:r>
          </w:p>
        </w:tc>
        <w:tc>
          <w:tcPr>
            <w:tcW w:w="3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nif, razao_social, agt_cert_no, rsa_public_key, rsa_private_key, morada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clients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Cadastro de clientes</w:t>
            </w:r>
          </w:p>
        </w:tc>
        <w:tc>
          <w:tcPr>
            <w:tcW w:w="3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nif, nome, email, telefone, endereco, tipo_contribuinte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products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Catálogo de artigos/serviços</w:t>
            </w:r>
          </w:p>
        </w:tc>
        <w:tc>
          <w:tcPr>
            <w:tcW w:w="3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codigo, descricao, preco_unitario, taxa_iva, motivo_isencao_code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series_numeracao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Séries de numeração por doc</w:t>
            </w:r>
          </w:p>
        </w:tc>
        <w:tc>
          <w:tcPr>
            <w:tcW w:w="3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tipo_documento, serie, ano, ultimo_numero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invoices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Cabeçalho dos documentos</w:t>
            </w:r>
          </w:p>
        </w:tc>
        <w:tc>
          <w:tcPr>
            <w:tcW w:w="3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numero_doc, serie, tipo, client_id, total_sem_imposto, total_iva, total_geral, hash, jws_signature, qr_code_url, status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invoice_lines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Linhas de itens da fatura</w:t>
            </w:r>
          </w:p>
        </w:tc>
        <w:tc>
          <w:tcPr>
            <w:tcW w:w="3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invoice_id, product_id, descricao, quantidade, preco_unitario, taxa_iva, valor_iva, total_linha</w:t>
            </w:r>
          </w:p>
        </w:tc>
      </w:tr>
      <w:tr>
        <w:tc>
          <w:tcPr>
            <w:tcW w:w="2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payments</w:t>
            </w:r>
          </w:p>
        </w:tc>
        <w:tc>
          <w:tcPr>
            <w:tcW w:w="16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Registo de pagamentos</w:t>
            </w:r>
          </w:p>
        </w:tc>
        <w:tc>
          <w:tcPr>
            <w:tcW w:w="3000" w:type="dxa"/>
            <w:shd w:val="clear" w:color="auto" w:fill="FFFFFF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invoice_id, metodo_pagamento, valor_pago, data_pagamento, referencia</w:t>
            </w:r>
          </w:p>
        </w:tc>
      </w:tr>
      <w:tr>
        <w:tc>
          <w:tcPr>
            <w:tcW w:w="2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logs_auditoria</w:t>
            </w:r>
          </w:p>
        </w:tc>
        <w:tc>
          <w:tcPr>
            <w:tcW w:w="16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id (UUID)</w:t>
            </w:r>
          </w:p>
        </w:tc>
        <w:tc>
          <w:tcPr>
            <w:tcW w:w="24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Log de auditoria imutável</w:t>
            </w:r>
          </w:p>
        </w:tc>
        <w:tc>
          <w:tcPr>
            <w:tcW w:w="3000" w:type="dxa"/>
            <w:shd w:val="clear" w:color="auto" w:fill="F8FAFC"/>
            <w:tcMar>
              <w:top w:w="120"/>
              <w:bottom w:w="120"/>
              <w:left w:w="140"/>
              <w:right w:w="140"/>
            </w:tcMar>
          </w:tcPr>
          <w:p>
            <w:r>
              <w:rPr>
                <w:sz w:val="20"/>
                <w:szCs w:val="20"/>
                <w:color w:val="1E293B"/>
              </w:rPr>
              <w:t>user_id, acao, entidade, payload_hash, timestamp, ip_address</w:t>
            </w:r>
          </w:p>
        </w:tc>
      </w:tr>
    </w:tbl>
    <w:p>
      <w:pPr>
        <w:spacing w:after="240"/>
      </w:pP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6. Guia de Instalação, Configuração e Manutenção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Para implantar e executar o Kima Facturação Web em ambiente local ou de produção: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6.1 Requisitos do Sistema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Node.js: </w:t>
      </w:r>
      <w:r>
        <w:rPr>
          <w:sz w:val="22"/>
          <w:szCs w:val="22"/>
        </w:rPr>
        <w:t>Node.js v20.x ou superior (Recomendado Node.js v24 LTS).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Gerenciador de Pacotes: </w:t>
      </w:r>
      <w:r>
        <w:rPr>
          <w:sz w:val="22"/>
          <w:szCs w:val="22"/>
        </w:rPr>
        <w:t>Gerenciador de pacotes pnpm (v10+) ou npm.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Base de Dados: </w:t>
      </w:r>
      <w:r>
        <w:rPr>
          <w:sz w:val="22"/>
          <w:szCs w:val="22"/>
        </w:rPr>
        <w:t>Instância PostgreSQL (Supabase) configurada com as credenciais de acesso.</w:t>
      </w:r>
    </w:p>
    <w:p w:rsidR="0036606C" w:rsidRDefault="0036606C">
      <w:pPr>
        <w:pStyle w:val="Cabealho2"/>
        <w:spacing w:before="240" w:after="120"/>
      </w:pPr>
      <w:r>
        <w:rPr>
          <w:b/>
          <w:sz w:val="24"/>
          <w:szCs w:val="24"/>
          <w:color w:val="2563EB"/>
        </w:rPr>
        <w:t>6.2 Passos de Configuração e Execução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1. Clona o repositório e instala as dependências:</w:t>
      </w:r>
    </w:p>
    <w:p w:rsidR="0036606C" w:rsidRDefault="0036606C">
      <w:pPr>
        <w:spacing w:after="140" w:line="276" w:lineRule="auto"/>
      </w:pPr>
      <w:r>
        <w:rPr>
          <w:b/>
          <w:sz w:val="22"/>
          <w:szCs w:val="22"/>
        </w:rPr>
        <w:t>   pnpm install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2. Configuração das Variáveis de Ambiente (.env.local):</w:t>
      </w:r>
    </w:p>
    <w:p w:rsidR="0036606C" w:rsidRDefault="0036606C">
      <w:pPr>
        <w:spacing w:after="140" w:line="276" w:lineRule="auto"/>
      </w:pPr>
      <w:r>
        <w:rPr>
          <w:i/>
          <w:sz w:val="22"/>
          <w:szCs w:val="22"/>
        </w:rPr>
        <w:t>   NEXT_PUBLIC_SUPABASE_URL="https://seu-projeto.supabase.co"</w:t>
      </w:r>
    </w:p>
    <w:p w:rsidR="0036606C" w:rsidRDefault="0036606C">
      <w:pPr>
        <w:spacing w:after="140" w:line="276" w:lineRule="auto"/>
      </w:pPr>
      <w:r>
        <w:rPr>
          <w:i/>
          <w:sz w:val="22"/>
          <w:szCs w:val="22"/>
        </w:rPr>
        <w:t>   SUPABASE_SERVICE_ROLE_KEY="sua-chave-service-role"</w:t>
      </w:r>
    </w:p>
    <w:p w:rsidR="0036606C" w:rsidRDefault="0036606C">
      <w:pPr>
        <w:spacing w:after="140" w:line="276" w:lineRule="auto"/>
      </w:pPr>
      <w:r>
        <w:rPr>
          <w:i/>
          <w:sz w:val="22"/>
          <w:szCs w:val="22"/>
        </w:rPr>
        <w:t>   NEXT_PUBLIC_APP_URL="http://localhost:3000"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3. Execução das Migrações da Base de Dados:</w:t>
      </w:r>
    </w:p>
    <w:p w:rsidR="0036606C" w:rsidRDefault="0036606C">
      <w:pPr>
        <w:spacing w:after="140" w:line="276" w:lineRule="auto"/>
      </w:pPr>
      <w:r>
        <w:rPr>
          <w:b/>
          <w:sz w:val="22"/>
          <w:szCs w:val="22"/>
        </w:rPr>
        <w:t>   npx drizzle-kit push / pnpm run db:push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4. Início do Servidor de Desenvolvimento:</w:t>
      </w:r>
    </w:p>
    <w:p w:rsidR="0036606C" w:rsidRDefault="0036606C">
      <w:pPr>
        <w:spacing w:after="140" w:line="276" w:lineRule="auto"/>
      </w:pPr>
      <w:r>
        <w:rPr>
          <w:b/>
          <w:sz w:val="22"/>
          <w:szCs w:val="22"/>
        </w:rPr>
        <w:t>   pnpm dev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5. Testes de Conformidade AGT e Credenciação:</w:t>
      </w:r>
    </w:p>
    <w:p w:rsidR="0036606C" w:rsidRDefault="0036606C">
      <w:pPr>
        <w:spacing w:after="140" w:line="276" w:lineRule="auto"/>
      </w:pPr>
      <w:r>
        <w:rPr>
          <w:b/>
          <w:sz w:val="22"/>
          <w:szCs w:val="22"/>
        </w:rPr>
        <w:t>   node scripts/agt-fase5-teste.mts</w:t>
      </w:r>
    </w:p>
    <w:p w:rsidR="0036606C" w:rsidRDefault="0036606C">
      <w:pPr>
        <w:spacing w:after="140" w:line="276" w:lineRule="auto"/>
      </w:pPr>
      <w:r>
        <w:rPr>
          <w:b/>
          <w:sz w:val="22"/>
          <w:szCs w:val="22"/>
        </w:rPr>
        <w:t>   node scripts/agt-credenciacao.mts</w:t>
      </w:r>
    </w:p>
    <w:p w:rsidR="0036606C" w:rsidRDefault="0036606C">
      <w:pPr>
        <w:pStyle w:val="Cabealho1"/>
        <w:spacing w:before="360" w:after="160"/>
      </w:pPr>
      <w:r>
        <w:rPr>
          <w:b/>
          <w:sz w:val="28"/>
          <w:szCs w:val="28"/>
          <w:color w:val="1E3A8A"/>
        </w:rPr>
        <w:t>7. Conclusão e Roadmap de Evolução</w:t>
      </w: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O Kima Facturação Web estabelece-se como uma plataforma de faturação de topo para o mercado angolano, unindo a facilidade de utilização de uma aplicação moderna com a máxima rigorosidade exigida pelas entidades reguladoras (AGT).</w:t>
      </w:r>
    </w:p>
    <w:tbl>
      <w:tblPr>
        <w:tblW w:w="9000" w:type="dxa"/>
        <w:tblBorders>
          <w:top w:val="none"/>
          <w:bottom w:val="none"/>
          <w:left w:val="single" w:sz="24" w:space="0" w:color="059669"/>
          <w:right w:val="none"/>
          <w:insideH w:val="none"/>
          <w:insideV w:val="none"/>
        </w:tblBorders>
      </w:tblPr>
      <w:tr>
        <w:tc>
          <w:tcPr>
            <w:tcW w:w="9000" w:type="dxa"/>
            <w:shd w:val="clear" w:color="auto" w:fill="ECFDF5"/>
            <w:tcMar>
              <w:top w:w="160"/>
              <w:bottom w:w="160"/>
              <w:left w:w="240"/>
              <w:right w:w="200"/>
            </w:tcMar>
          </w:tcPr>
          <w:p>
            <w:r>
              <w:rPr>
                <w:b/>
                <w:color w:val="059669"/>
                <w:sz w:val="22"/>
                <w:szCs w:val="22"/>
              </w:rPr>
              <w:t>Estado de Prontidão do Sistema</w:t>
            </w:r>
          </w:p>
          <w:p>
            <w:pPr>
              <w:spacing w:after="0"/>
            </w:pPr>
            <w:r>
              <w:rPr>
                <w:color w:val="334155"/>
                <w:sz w:val="20"/>
                <w:szCs w:val="20"/>
              </w:rPr>
              <w:t>Com a conclusão das Fases de Segurança Criptográfica, Módulo de Documentos Retificativos, Exportação SAF-T (AO) e Validação XSD, o sistema encontra-se 100% preparado para passar nos testes formais de credenciação da AGT.</w:t>
            </w:r>
          </w:p>
        </w:tc>
      </w:tr>
    </w:tbl>
    <w:p>
      <w:pPr>
        <w:spacing w:after="200"/>
      </w:pPr>
    </w:p>
    <w:p w:rsidR="0036606C" w:rsidRDefault="0036606C">
      <w:pPr>
        <w:spacing w:after="140" w:line="276" w:lineRule="auto"/>
      </w:pPr>
      <w:r>
        <w:rPr>
          <w:sz w:val="22"/>
          <w:szCs w:val="22"/>
        </w:rPr>
        <w:t>Próximos Passos de Expansão (Roadmap 2026/2027):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Integração Direta AGT: </w:t>
      </w:r>
      <w:r>
        <w:rPr>
          <w:sz w:val="22"/>
          <w:szCs w:val="22"/>
        </w:rPr>
        <w:t>Desenvolvimento da camada de sincronização em tempo real via REST API direta com os servidores centrais da AGT (Fase 2).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Multi-Empresa: </w:t>
      </w:r>
      <w:r>
        <w:rPr>
          <w:sz w:val="22"/>
          <w:szCs w:val="22"/>
        </w:rPr>
        <w:t>Expansão do suporte multi-tenant nativo para gestão centralizada de grupos empresariais.</w:t>
      </w:r>
    </w:p>
    <w:p w:rsidR="0036606C" w:rsidRDefault="0036606C">
      <w:pPr>
        <w:pStyle w:val="PargrafodaLista"/>
        <w:numPr>
          <w:ilvl w:val="0"/>
          <w:numId w:val="1"/>
        </w:numPr>
        <w:spacing w:after="100" w:line="260" w:lineRule="auto"/>
      </w:pPr>
      <w:r>
        <w:rPr>
          <w:b/>
          <w:color w:val="1E293B"/>
          <w:sz w:val="22"/>
          <w:szCs w:val="22"/>
        </w:rPr>
        <w:t>Gestão de Permissões: </w:t>
      </w:r>
      <w:r>
        <w:rPr>
          <w:sz w:val="22"/>
          <w:szCs w:val="22"/>
        </w:rPr>
        <w:t>Implementação de controlo de acessos refinado por perfil de utilizador (Administrador, Operador de Caixa, Contabilista).</w:t>
      </w:r>
    </w:p>
    <w:sectPr w:rsidR="0036606C" w:rsidRPr="004C6E9A">
      <w:headerReference w:type="default" r:id="rId15"/>
      <w:footerReference w:type="default" r:id="rId16"/>
      <w:pgSz w:w="11906" w:h="16838"/>
      <w:pgMar w:top="120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5FA3DB" w14:textId="77777777" w:rsidR="00CC5B03" w:rsidRDefault="00CC5B03">
      <w:r>
        <w:separator/>
      </w:r>
    </w:p>
  </w:endnote>
  <w:endnote w:type="continuationSeparator" w:id="0">
    <w:p w14:paraId="6FFF7D34" w14:textId="77777777" w:rsidR="00CC5B03" w:rsidRDefault="00CC5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33A14" w14:textId="77777777" w:rsidR="0036606C" w:rsidRDefault="004A33DD">
    <w:pPr>
      <w:pBdr>
        <w:top w:val="single" w:sz="4" w:space="4" w:color="CC0000"/>
      </w:pBdr>
      <w:tabs>
        <w:tab w:val="center" w:pos="4513"/>
        <w:tab w:val="right" w:pos="9026"/>
      </w:tabs>
      <w:spacing w:before="60" w:after="40"/>
    </w:pPr>
    <w:r>
      <w:rPr>
        <w:color w:val="666666"/>
        <w:sz w:val="16"/>
        <w:szCs w:val="16"/>
      </w:rPr>
      <w:t xml:space="preserve">RC Media </w:t>
    </w:r>
    <w:proofErr w:type="gramStart"/>
    <w:r>
      <w:rPr>
        <w:color w:val="666666"/>
        <w:sz w:val="16"/>
        <w:szCs w:val="16"/>
      </w:rPr>
      <w:t>Angola  |</w:t>
    </w:r>
    <w:proofErr w:type="gramEnd"/>
    <w:r>
      <w:rPr>
        <w:color w:val="666666"/>
        <w:sz w:val="16"/>
        <w:szCs w:val="16"/>
      </w:rPr>
      <w:t xml:space="preserve">  Marketing &amp; Resultados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14686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54205C" w14:textId="77777777" w:rsidR="00CC5B03" w:rsidRDefault="00CC5B03">
      <w:r>
        <w:separator/>
      </w:r>
    </w:p>
  </w:footnote>
  <w:footnote w:type="continuationSeparator" w:id="0">
    <w:p w14:paraId="07F9F1AA" w14:textId="77777777" w:rsidR="00CC5B03" w:rsidRDefault="00CC5B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2FF18" w14:textId="77777777" w:rsidR="0036606C" w:rsidRDefault="004A33DD">
    <w:pPr>
      <w:pBdr>
        <w:bottom w:val="single" w:sz="8" w:space="6" w:color="CC0000"/>
      </w:pBdr>
    </w:pPr>
    <w:r>
      <w:rPr>
        <w:noProof/>
      </w:rPr>
      <w:drawing>
        <wp:inline distT="0" distB="0" distL="0" distR="0" wp14:anchorId="2C88D326" wp14:editId="505A230C">
          <wp:extent cx="908050" cy="857250"/>
          <wp:effectExtent l="0" t="0" r="635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0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711435" w14:textId="77777777" w:rsidR="0036606C" w:rsidRDefault="004A33DD">
    <w:pPr>
      <w:spacing w:before="60" w:after="40"/>
      <w:jc w:val="center"/>
    </w:pPr>
    <w:r>
      <w:rPr>
        <w:b/>
        <w:bCs/>
        <w:color w:val="1A3B8C"/>
        <w:sz w:val="20"/>
        <w:szCs w:val="20"/>
      </w:rPr>
      <w:t>RC MEDIA ANGOLA – PRESTAÇÃO DE SERVIÇOS, LDA</w:t>
    </w:r>
  </w:p>
  <w:p w14:paraId="312122F3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Bairro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, Rua do Largo do </w:t>
    </w:r>
    <w:proofErr w:type="spellStart"/>
    <w:r>
      <w:rPr>
        <w:color w:val="666666"/>
        <w:sz w:val="18"/>
        <w:szCs w:val="18"/>
      </w:rPr>
      <w:t>Kinaxixi</w:t>
    </w:r>
    <w:proofErr w:type="spellEnd"/>
    <w:r>
      <w:rPr>
        <w:color w:val="666666"/>
        <w:sz w:val="18"/>
        <w:szCs w:val="18"/>
      </w:rPr>
      <w:t xml:space="preserve"> – Luanda, Angola</w:t>
    </w:r>
  </w:p>
  <w:p w14:paraId="5F469B1E" w14:textId="77777777" w:rsidR="0036606C" w:rsidRDefault="004A33DD">
    <w:pPr>
      <w:spacing w:after="20"/>
      <w:jc w:val="center"/>
    </w:pPr>
    <w:r>
      <w:rPr>
        <w:color w:val="666666"/>
        <w:sz w:val="18"/>
        <w:szCs w:val="18"/>
      </w:rPr>
      <w:t xml:space="preserve">NIF: 5002670119   |   </w:t>
    </w:r>
    <w:proofErr w:type="spellStart"/>
    <w:r>
      <w:rPr>
        <w:color w:val="666666"/>
        <w:sz w:val="18"/>
        <w:szCs w:val="18"/>
      </w:rPr>
      <w:t>Tel</w:t>
    </w:r>
    <w:proofErr w:type="spellEnd"/>
    <w:r>
      <w:rPr>
        <w:color w:val="666666"/>
        <w:sz w:val="18"/>
        <w:szCs w:val="18"/>
      </w:rPr>
      <w:t>: 929 884 781 / 929 884 810   |   geral@rcmedia.ao</w:t>
    </w:r>
  </w:p>
  <w:p w14:paraId="32B9BBBF" w14:textId="77777777" w:rsidR="0036606C" w:rsidRDefault="0036606C">
    <w:pPr>
      <w:pBdr>
        <w:bottom w:val="single" w:sz="4" w:space="4" w:color="1A3B8C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94380"/>
    <w:multiLevelType w:val="multilevel"/>
    <w:tmpl w:val="AF7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267528"/>
    <w:multiLevelType w:val="multilevel"/>
    <w:tmpl w:val="C26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8712B6"/>
    <w:multiLevelType w:val="multilevel"/>
    <w:tmpl w:val="0DF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BA18BB"/>
    <w:multiLevelType w:val="hybridMultilevel"/>
    <w:tmpl w:val="BDA64432"/>
    <w:lvl w:ilvl="0" w:tplc="918649A8">
      <w:start w:val="1"/>
      <w:numFmt w:val="bullet"/>
      <w:lvlText w:val="●"/>
      <w:lvlJc w:val="left"/>
      <w:pPr>
        <w:ind w:left="720" w:hanging="360"/>
      </w:pPr>
    </w:lvl>
    <w:lvl w:ilvl="1" w:tplc="37E6BCCC">
      <w:start w:val="1"/>
      <w:numFmt w:val="bullet"/>
      <w:lvlText w:val="○"/>
      <w:lvlJc w:val="left"/>
      <w:pPr>
        <w:ind w:left="1440" w:hanging="360"/>
      </w:pPr>
    </w:lvl>
    <w:lvl w:ilvl="2" w:tplc="4D90DCDC">
      <w:start w:val="1"/>
      <w:numFmt w:val="bullet"/>
      <w:lvlText w:val="■"/>
      <w:lvlJc w:val="left"/>
      <w:pPr>
        <w:ind w:left="2160" w:hanging="360"/>
      </w:pPr>
    </w:lvl>
    <w:lvl w:ilvl="3" w:tplc="7A966266">
      <w:start w:val="1"/>
      <w:numFmt w:val="bullet"/>
      <w:lvlText w:val="●"/>
      <w:lvlJc w:val="left"/>
      <w:pPr>
        <w:ind w:left="2880" w:hanging="360"/>
      </w:pPr>
    </w:lvl>
    <w:lvl w:ilvl="4" w:tplc="4B789EC2">
      <w:start w:val="1"/>
      <w:numFmt w:val="bullet"/>
      <w:lvlText w:val="○"/>
      <w:lvlJc w:val="left"/>
      <w:pPr>
        <w:ind w:left="3600" w:hanging="360"/>
      </w:pPr>
    </w:lvl>
    <w:lvl w:ilvl="5" w:tplc="EB500766">
      <w:start w:val="1"/>
      <w:numFmt w:val="bullet"/>
      <w:lvlText w:val="■"/>
      <w:lvlJc w:val="left"/>
      <w:pPr>
        <w:ind w:left="4320" w:hanging="360"/>
      </w:pPr>
    </w:lvl>
    <w:lvl w:ilvl="6" w:tplc="2DACA47A">
      <w:start w:val="1"/>
      <w:numFmt w:val="bullet"/>
      <w:lvlText w:val="●"/>
      <w:lvlJc w:val="left"/>
      <w:pPr>
        <w:ind w:left="5040" w:hanging="360"/>
      </w:pPr>
    </w:lvl>
    <w:lvl w:ilvl="7" w:tplc="82B0FEF4">
      <w:start w:val="1"/>
      <w:numFmt w:val="bullet"/>
      <w:lvlText w:val="●"/>
      <w:lvlJc w:val="left"/>
      <w:pPr>
        <w:ind w:left="5760" w:hanging="360"/>
      </w:pPr>
    </w:lvl>
    <w:lvl w:ilvl="8" w:tplc="935A81F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1CB20677"/>
    <w:multiLevelType w:val="multilevel"/>
    <w:tmpl w:val="7A0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855953"/>
    <w:multiLevelType w:val="multilevel"/>
    <w:tmpl w:val="383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36C3D"/>
    <w:multiLevelType w:val="multilevel"/>
    <w:tmpl w:val="71C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144B5"/>
    <w:multiLevelType w:val="multilevel"/>
    <w:tmpl w:val="118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9A26F4"/>
    <w:multiLevelType w:val="multilevel"/>
    <w:tmpl w:val="10AE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DD4BC0"/>
    <w:multiLevelType w:val="multilevel"/>
    <w:tmpl w:val="898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B518C1"/>
    <w:multiLevelType w:val="multilevel"/>
    <w:tmpl w:val="D4A0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E7F3B"/>
    <w:multiLevelType w:val="multilevel"/>
    <w:tmpl w:val="AAE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4F2502"/>
    <w:multiLevelType w:val="multilevel"/>
    <w:tmpl w:val="C93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71442A"/>
    <w:multiLevelType w:val="multilevel"/>
    <w:tmpl w:val="665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A746A"/>
    <w:multiLevelType w:val="multilevel"/>
    <w:tmpl w:val="9CA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457574"/>
    <w:multiLevelType w:val="multilevel"/>
    <w:tmpl w:val="722A3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39E63B2"/>
    <w:multiLevelType w:val="multilevel"/>
    <w:tmpl w:val="C9FA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7143612"/>
    <w:multiLevelType w:val="multilevel"/>
    <w:tmpl w:val="0D4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72658D3"/>
    <w:multiLevelType w:val="multilevel"/>
    <w:tmpl w:val="BD6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356816"/>
    <w:multiLevelType w:val="multilevel"/>
    <w:tmpl w:val="D54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C57EDC"/>
    <w:multiLevelType w:val="multilevel"/>
    <w:tmpl w:val="378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1E407B"/>
    <w:multiLevelType w:val="multilevel"/>
    <w:tmpl w:val="D3A4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8971CD"/>
    <w:multiLevelType w:val="multilevel"/>
    <w:tmpl w:val="2A1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FE1B60"/>
    <w:multiLevelType w:val="multilevel"/>
    <w:tmpl w:val="BA7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643D13"/>
    <w:multiLevelType w:val="multilevel"/>
    <w:tmpl w:val="63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6B4A00"/>
    <w:multiLevelType w:val="multilevel"/>
    <w:tmpl w:val="4D08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7D61A3"/>
    <w:multiLevelType w:val="hybridMultilevel"/>
    <w:tmpl w:val="ECDA07FE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9E1879"/>
    <w:multiLevelType w:val="multilevel"/>
    <w:tmpl w:val="24B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10"/>
  </w:num>
  <w:num w:numId="3">
    <w:abstractNumId w:val="27"/>
  </w:num>
  <w:num w:numId="4">
    <w:abstractNumId w:val="15"/>
  </w:num>
  <w:num w:numId="5">
    <w:abstractNumId w:val="25"/>
  </w:num>
  <w:num w:numId="6">
    <w:abstractNumId w:val="2"/>
  </w:num>
  <w:num w:numId="7">
    <w:abstractNumId w:val="20"/>
  </w:num>
  <w:num w:numId="8">
    <w:abstractNumId w:val="1"/>
  </w:num>
  <w:num w:numId="9">
    <w:abstractNumId w:val="13"/>
  </w:num>
  <w:num w:numId="10">
    <w:abstractNumId w:val="8"/>
  </w:num>
  <w:num w:numId="11">
    <w:abstractNumId w:val="14"/>
  </w:num>
  <w:num w:numId="12">
    <w:abstractNumId w:val="21"/>
  </w:num>
  <w:num w:numId="13">
    <w:abstractNumId w:val="6"/>
  </w:num>
  <w:num w:numId="14">
    <w:abstractNumId w:val="4"/>
  </w:num>
  <w:num w:numId="15">
    <w:abstractNumId w:val="11"/>
  </w:num>
  <w:num w:numId="16">
    <w:abstractNumId w:val="22"/>
  </w:num>
  <w:num w:numId="17">
    <w:abstractNumId w:val="19"/>
  </w:num>
  <w:num w:numId="18">
    <w:abstractNumId w:val="18"/>
  </w:num>
  <w:num w:numId="19">
    <w:abstractNumId w:val="7"/>
  </w:num>
  <w:num w:numId="20">
    <w:abstractNumId w:val="26"/>
  </w:num>
  <w:num w:numId="21">
    <w:abstractNumId w:val="24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0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6C"/>
    <w:rsid w:val="00096100"/>
    <w:rsid w:val="00114C73"/>
    <w:rsid w:val="00167178"/>
    <w:rsid w:val="001E56CF"/>
    <w:rsid w:val="0020158F"/>
    <w:rsid w:val="00222EA7"/>
    <w:rsid w:val="0026316D"/>
    <w:rsid w:val="00273EB1"/>
    <w:rsid w:val="002919E4"/>
    <w:rsid w:val="002E39C4"/>
    <w:rsid w:val="0036606C"/>
    <w:rsid w:val="004A33DD"/>
    <w:rsid w:val="004C6E9A"/>
    <w:rsid w:val="005C630A"/>
    <w:rsid w:val="00614686"/>
    <w:rsid w:val="007A1243"/>
    <w:rsid w:val="0082302E"/>
    <w:rsid w:val="00906FE1"/>
    <w:rsid w:val="00942B7A"/>
    <w:rsid w:val="009639A9"/>
    <w:rsid w:val="00997610"/>
    <w:rsid w:val="009A6DDE"/>
    <w:rsid w:val="009D4BF8"/>
    <w:rsid w:val="00A270A7"/>
    <w:rsid w:val="00B4095B"/>
    <w:rsid w:val="00B771EE"/>
    <w:rsid w:val="00BA5246"/>
    <w:rsid w:val="00CC5B03"/>
    <w:rsid w:val="00D2362B"/>
    <w:rsid w:val="00E005B9"/>
    <w:rsid w:val="00EF3FD0"/>
    <w:rsid w:val="00FE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606B7"/>
  <w15:docId w15:val="{5317BE77-CE9D-4642-9CAE-858ED80B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abealh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abealh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abealh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abealh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abealh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uiPriority w:val="34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95B"/>
  </w:style>
  <w:style w:type="paragraph" w:styleId="Rodap">
    <w:name w:val="footer"/>
    <w:basedOn w:val="Normal"/>
    <w:link w:val="RodapCarter"/>
    <w:uiPriority w:val="99"/>
    <w:unhideWhenUsed/>
    <w:rsid w:val="00B4095B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95B"/>
  </w:style>
  <w:style w:type="table" w:styleId="TabelaSimples1">
    <w:name w:val="Plain Table 1"/>
    <w:basedOn w:val="Tabelanormal"/>
    <w:uiPriority w:val="41"/>
    <w:rsid w:val="00A270A7"/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BA524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C6E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rte">
    <w:name w:val="Strong"/>
    <w:basedOn w:val="Tipodeletrapredefinidodopargrafo"/>
    <w:uiPriority w:val="22"/>
    <w:qFormat/>
    <w:rsid w:val="004C6E9A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4C6E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7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773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RCM-Gestor de Market</cp:lastModifiedBy>
  <cp:revision>54</cp:revision>
  <cp:lastPrinted>2026-08-14T15:22:00Z</cp:lastPrinted>
  <dcterms:created xsi:type="dcterms:W3CDTF">2026-05-11T15:15:00Z</dcterms:created>
  <dcterms:modified xsi:type="dcterms:W3CDTF">2026-08-14T16:04:00Z</dcterms:modified>
</cp:coreProperties>
</file>