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369" w:rsidRDefault="00283369" w:rsidP="00283369">
      <w:pPr>
        <w:rPr>
          <w:rStyle w:val="hps"/>
          <w:rFonts w:cs="Times New Roman"/>
          <w:szCs w:val="24"/>
          <w:lang w:val="en-GB"/>
        </w:rPr>
      </w:pPr>
      <w:r w:rsidRPr="006E4AC6">
        <w:rPr>
          <w:rStyle w:val="hps"/>
          <w:rFonts w:cs="Times New Roman"/>
          <w:b/>
          <w:szCs w:val="24"/>
          <w:lang w:val="en-GB"/>
        </w:rPr>
        <w:t>Clinicopathological findings of the cats included in the study</w:t>
      </w:r>
    </w:p>
    <w:tbl>
      <w:tblPr>
        <w:tblStyle w:val="Grigliatabella1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"/>
        <w:gridCol w:w="3847"/>
        <w:gridCol w:w="2976"/>
        <w:gridCol w:w="2410"/>
      </w:tblGrid>
      <w:tr w:rsidR="00885F1D" w:rsidRPr="00885F1D" w:rsidTr="00885F1D">
        <w:trPr>
          <w:jc w:val="center"/>
        </w:trPr>
        <w:tc>
          <w:tcPr>
            <w:tcW w:w="210" w:type="pct"/>
            <w:tcBorders>
              <w:top w:val="single" w:sz="4" w:space="0" w:color="auto"/>
              <w:bottom w:val="single" w:sz="4" w:space="0" w:color="auto"/>
            </w:tcBorders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</w:p>
        </w:tc>
        <w:tc>
          <w:tcPr>
            <w:tcW w:w="1996" w:type="pct"/>
            <w:tcBorders>
              <w:top w:val="single" w:sz="4" w:space="0" w:color="auto"/>
              <w:bottom w:val="single" w:sz="4" w:space="0" w:color="auto"/>
            </w:tcBorders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</w:p>
        </w:tc>
        <w:tc>
          <w:tcPr>
            <w:tcW w:w="1544" w:type="pct"/>
            <w:tcBorders>
              <w:top w:val="single" w:sz="4" w:space="0" w:color="auto"/>
              <w:bottom w:val="single" w:sz="4" w:space="0" w:color="auto"/>
            </w:tcBorders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b/>
                <w:szCs w:val="24"/>
                <w:lang w:val="en-GB"/>
              </w:rPr>
            </w:pPr>
            <w:r w:rsidRPr="00885F1D">
              <w:rPr>
                <w:rFonts w:eastAsia="Calibri" w:cs="Times New Roman"/>
                <w:b/>
                <w:szCs w:val="24"/>
                <w:lang w:val="en-GB"/>
              </w:rPr>
              <w:t>Cats included in the study</w:t>
            </w:r>
          </w:p>
        </w:tc>
        <w:tc>
          <w:tcPr>
            <w:tcW w:w="1249" w:type="pct"/>
            <w:tcBorders>
              <w:top w:val="single" w:sz="4" w:space="0" w:color="auto"/>
              <w:bottom w:val="single" w:sz="4" w:space="0" w:color="auto"/>
            </w:tcBorders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b/>
                <w:szCs w:val="24"/>
                <w:lang w:val="en-GB"/>
              </w:rPr>
            </w:pPr>
            <w:r w:rsidRPr="00885F1D">
              <w:rPr>
                <w:rFonts w:eastAsia="Calibri" w:cs="Times New Roman"/>
                <w:b/>
                <w:szCs w:val="24"/>
                <w:lang w:val="en-GB"/>
              </w:rPr>
              <w:t>Reference interval</w:t>
            </w:r>
          </w:p>
        </w:tc>
      </w:tr>
      <w:tr w:rsidR="00885F1D" w:rsidRPr="00885F1D" w:rsidTr="00885F1D">
        <w:trPr>
          <w:jc w:val="center"/>
        </w:trPr>
        <w:tc>
          <w:tcPr>
            <w:tcW w:w="2206" w:type="pct"/>
            <w:gridSpan w:val="2"/>
            <w:tcBorders>
              <w:top w:val="single" w:sz="4" w:space="0" w:color="auto"/>
            </w:tcBorders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Haematology</w:t>
            </w:r>
          </w:p>
        </w:tc>
        <w:tc>
          <w:tcPr>
            <w:tcW w:w="1544" w:type="pct"/>
            <w:tcBorders>
              <w:top w:val="single" w:sz="4" w:space="0" w:color="auto"/>
            </w:tcBorders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</w:p>
        </w:tc>
        <w:tc>
          <w:tcPr>
            <w:tcW w:w="1249" w:type="pct"/>
            <w:tcBorders>
              <w:top w:val="single" w:sz="4" w:space="0" w:color="auto"/>
            </w:tcBorders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RBCs (x10</w:t>
            </w:r>
            <w:r w:rsidRPr="00885F1D">
              <w:rPr>
                <w:rFonts w:eastAsia="Calibri" w:cs="Times New Roman"/>
                <w:szCs w:val="24"/>
                <w:vertAlign w:val="superscript"/>
                <w:lang w:val="en-GB"/>
              </w:rPr>
              <w:t>6</w:t>
            </w:r>
            <w:r w:rsidRPr="00885F1D">
              <w:rPr>
                <w:rFonts w:eastAsia="Calibri" w:cs="Times New Roman"/>
                <w:szCs w:val="24"/>
                <w:lang w:val="en-GB"/>
              </w:rPr>
              <w:t>/µL</w:t>
            </w:r>
            <w:r w:rsidRPr="00885F1D">
              <w:rPr>
                <w:rFonts w:eastAsia="Times New Roman" w:cs="Times New Roman"/>
                <w:color w:val="000000"/>
                <w:szCs w:val="24"/>
                <w:lang w:val="en-GB" w:eastAsia="it-IT"/>
              </w:rPr>
              <w:t>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 xml:space="preserve">9.07 (6.73 – 10.18) 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7 – 11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WBCs (x10</w:t>
            </w:r>
            <w:r w:rsidRPr="00885F1D">
              <w:rPr>
                <w:rFonts w:eastAsia="Calibri" w:cs="Times New Roman"/>
                <w:bCs/>
                <w:szCs w:val="24"/>
                <w:vertAlign w:val="superscript"/>
                <w:lang w:val="en-GB"/>
              </w:rPr>
              <w:t>3</w:t>
            </w: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/</w:t>
            </w:r>
            <w:r w:rsidRPr="00885F1D">
              <w:rPr>
                <w:rFonts w:eastAsia="Calibri" w:cs="Times New Roman"/>
                <w:szCs w:val="24"/>
                <w:lang w:val="en-GB"/>
              </w:rPr>
              <w:t>µL</w:t>
            </w:r>
            <w:r w:rsidRPr="00885F1D">
              <w:rPr>
                <w:rFonts w:eastAsia="Times New Roman" w:cs="Times New Roman"/>
                <w:color w:val="000000"/>
                <w:szCs w:val="24"/>
                <w:lang w:val="en-GB" w:eastAsia="it-IT"/>
              </w:rPr>
              <w:t>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6.2 (2.9 – 12.5)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4.8 – 14.93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Hb (g/dL)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13.7 (10 – 15.7)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color w:val="000000"/>
                <w:szCs w:val="24"/>
                <w:lang w:val="en-GB"/>
              </w:rPr>
              <w:t>10 – 16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Hct (%)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39.8 (31.5 – 47.1)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Times New Roman" w:cs="Times New Roman"/>
                <w:bCs/>
                <w:color w:val="000000"/>
                <w:szCs w:val="24"/>
                <w:lang w:val="en-GB" w:eastAsia="it-IT"/>
              </w:rPr>
              <w:t>32 – 48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MCV (fL)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43.2 (40.9 – 52.9)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36 – 55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MCH (pg)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15 (14.3 – 16.5)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12.3 – 16.2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MCHC (g/dL)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35 (31.3 – 36.3)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31 – 36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bCs/>
                <w:szCs w:val="24"/>
                <w:lang w:val="en-GB"/>
              </w:rPr>
            </w:pP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RDW (%)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  <w:r w:rsidRPr="00885F1D">
              <w:rPr>
                <w:rFonts w:eastAsia="Calibri" w:cs="Times New Roman"/>
                <w:szCs w:val="24"/>
              </w:rPr>
              <w:t>15.4 (14.7 – 19.7)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13 – 17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MPV (fL)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14.2 (10.8 – 28.2)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Times New Roman" w:cs="Times New Roman"/>
                <w:bCs/>
                <w:color w:val="000000"/>
                <w:szCs w:val="24"/>
                <w:lang w:val="en-GB" w:eastAsia="it-IT"/>
              </w:rPr>
              <w:t>8 – 26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Platelets (x10</w:t>
            </w:r>
            <w:r w:rsidRPr="00885F1D">
              <w:rPr>
                <w:rFonts w:eastAsia="Calibri" w:cs="Times New Roman"/>
                <w:bCs/>
                <w:szCs w:val="24"/>
                <w:vertAlign w:val="superscript"/>
                <w:lang w:val="en-GB"/>
              </w:rPr>
              <w:t>3</w:t>
            </w: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/</w:t>
            </w:r>
            <w:r w:rsidRPr="00885F1D">
              <w:rPr>
                <w:rFonts w:eastAsia="Calibri" w:cs="Times New Roman"/>
                <w:szCs w:val="24"/>
                <w:lang w:val="en-GB"/>
              </w:rPr>
              <w:t>µL</w:t>
            </w:r>
            <w:r w:rsidRPr="00885F1D">
              <w:rPr>
                <w:rFonts w:eastAsia="Times New Roman" w:cs="Times New Roman"/>
                <w:color w:val="000000"/>
                <w:szCs w:val="24"/>
                <w:lang w:val="en-GB" w:eastAsia="it-IT"/>
              </w:rPr>
              <w:t>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color w:val="FF0000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226 (28 – 480)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color w:val="FF0000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150 – 500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Reticulocytes (x10</w:t>
            </w:r>
            <w:r w:rsidRPr="00885F1D">
              <w:rPr>
                <w:rFonts w:eastAsia="Calibri" w:cs="Times New Roman"/>
                <w:bCs/>
                <w:szCs w:val="24"/>
                <w:vertAlign w:val="superscript"/>
                <w:lang w:val="en-GB"/>
              </w:rPr>
              <w:t>3</w:t>
            </w: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/</w:t>
            </w:r>
            <w:r w:rsidRPr="00885F1D">
              <w:rPr>
                <w:rFonts w:eastAsia="Calibri" w:cs="Times New Roman"/>
                <w:szCs w:val="24"/>
                <w:lang w:val="en-GB"/>
              </w:rPr>
              <w:t>µL</w:t>
            </w:r>
            <w:r w:rsidRPr="00885F1D">
              <w:rPr>
                <w:rFonts w:eastAsia="Times New Roman" w:cs="Times New Roman"/>
                <w:color w:val="000000"/>
                <w:szCs w:val="24"/>
                <w:lang w:val="en-GB" w:eastAsia="it-IT"/>
              </w:rPr>
              <w:t>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24.5 (13.5 – 70.4)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0 – 80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Neutrophils (/</w:t>
            </w:r>
            <w:r w:rsidRPr="00885F1D">
              <w:rPr>
                <w:rFonts w:eastAsia="Calibri" w:cs="Times New Roman"/>
                <w:szCs w:val="24"/>
                <w:lang w:val="en-GB"/>
              </w:rPr>
              <w:t>µL</w:t>
            </w:r>
            <w:r w:rsidRPr="00885F1D">
              <w:rPr>
                <w:rFonts w:eastAsia="Times New Roman" w:cs="Times New Roman"/>
                <w:color w:val="000000"/>
                <w:szCs w:val="24"/>
                <w:lang w:val="en-GB" w:eastAsia="it-IT"/>
              </w:rPr>
              <w:t>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2700 (1240 – 6380)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1600 – 10000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Monocytes (/</w:t>
            </w:r>
            <w:r w:rsidRPr="00885F1D">
              <w:rPr>
                <w:rFonts w:eastAsia="Calibri" w:cs="Times New Roman"/>
                <w:szCs w:val="24"/>
                <w:lang w:val="en-GB"/>
              </w:rPr>
              <w:t>µL</w:t>
            </w:r>
            <w:r w:rsidRPr="00885F1D">
              <w:rPr>
                <w:rFonts w:eastAsia="Times New Roman" w:cs="Times New Roman"/>
                <w:color w:val="000000"/>
                <w:szCs w:val="24"/>
                <w:lang w:val="en-GB" w:eastAsia="it-IT"/>
              </w:rPr>
              <w:t>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100 (40 – 270)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0 – 650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Lymphocytes (/</w:t>
            </w:r>
            <w:r w:rsidRPr="00885F1D">
              <w:rPr>
                <w:rFonts w:eastAsia="Calibri" w:cs="Times New Roman"/>
                <w:szCs w:val="24"/>
                <w:lang w:val="en-GB"/>
              </w:rPr>
              <w:t>µL</w:t>
            </w:r>
            <w:r w:rsidRPr="00885F1D">
              <w:rPr>
                <w:rFonts w:eastAsia="Times New Roman" w:cs="Times New Roman"/>
                <w:color w:val="000000"/>
                <w:szCs w:val="24"/>
                <w:lang w:val="en-GB" w:eastAsia="it-IT"/>
              </w:rPr>
              <w:t>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2140 (1100 – 6920)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900 – 5600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Basophils (/</w:t>
            </w:r>
            <w:r w:rsidRPr="00885F1D">
              <w:rPr>
                <w:rFonts w:eastAsia="Calibri" w:cs="Times New Roman"/>
                <w:szCs w:val="24"/>
                <w:lang w:val="en-GB"/>
              </w:rPr>
              <w:t>µL</w:t>
            </w:r>
            <w:r w:rsidRPr="00885F1D">
              <w:rPr>
                <w:rFonts w:eastAsia="Times New Roman" w:cs="Times New Roman"/>
                <w:color w:val="000000"/>
                <w:szCs w:val="24"/>
                <w:lang w:val="en-GB" w:eastAsia="it-IT"/>
              </w:rPr>
              <w:t>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10 (0 – 210)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Times New Roman" w:cs="Times New Roman"/>
                <w:bCs/>
                <w:color w:val="000000"/>
                <w:szCs w:val="24"/>
                <w:lang w:val="en-GB" w:eastAsia="it-IT"/>
              </w:rPr>
              <w:t>0 – 60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bCs/>
                <w:szCs w:val="24"/>
                <w:lang w:val="en-GB"/>
              </w:rPr>
              <w:t>Eosinophil (/</w:t>
            </w:r>
            <w:r w:rsidRPr="00885F1D">
              <w:rPr>
                <w:rFonts w:eastAsia="Calibri" w:cs="Times New Roman"/>
                <w:szCs w:val="24"/>
                <w:lang w:val="en-GB"/>
              </w:rPr>
              <w:t>µL</w:t>
            </w:r>
            <w:r w:rsidRPr="00885F1D">
              <w:rPr>
                <w:rFonts w:eastAsia="Times New Roman" w:cs="Times New Roman"/>
                <w:color w:val="000000"/>
                <w:szCs w:val="24"/>
                <w:lang w:val="en-GB" w:eastAsia="it-IT"/>
              </w:rPr>
              <w:t>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250 (0 – 605)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Times New Roman" w:cs="Times New Roman"/>
                <w:bCs/>
                <w:color w:val="000000"/>
                <w:szCs w:val="24"/>
                <w:lang w:val="en-GB" w:eastAsia="it-IT"/>
              </w:rPr>
              <w:t>60 – 1470</w:t>
            </w:r>
          </w:p>
        </w:tc>
      </w:tr>
      <w:tr w:rsidR="00885F1D" w:rsidRPr="00885F1D" w:rsidTr="00885F1D">
        <w:trPr>
          <w:jc w:val="center"/>
        </w:trPr>
        <w:tc>
          <w:tcPr>
            <w:tcW w:w="2206" w:type="pct"/>
            <w:gridSpan w:val="2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Serum Chemistry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ALT (U/L)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48 (13 – 71)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Times New Roman" w:cs="Times New Roman"/>
                <w:szCs w:val="24"/>
                <w:lang w:val="en-GB" w:eastAsia="it-IT"/>
              </w:rPr>
              <w:t>20 – 72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AST (U/L)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27 (15 – 38)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Times New Roman" w:cs="Times New Roman"/>
                <w:szCs w:val="24"/>
                <w:lang w:val="en-GB" w:eastAsia="it-IT"/>
              </w:rPr>
              <w:t>9 – 40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ALP (U/L)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28 (13 – 64)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20 – 140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GGT (U/L)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0.1 (0.1 – 0.5)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0 – 4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Total Bilirubin (</w:t>
            </w:r>
            <w:r w:rsidRPr="00885F1D">
              <w:rPr>
                <w:rFonts w:eastAsia="Times New Roman" w:cs="Times New Roman"/>
                <w:szCs w:val="24"/>
                <w:lang w:val="en-GB" w:eastAsia="it-IT"/>
              </w:rPr>
              <w:t>mg/dL)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0.17 (0.07 – 0.24)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0 – 0.35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Cholesterol (</w:t>
            </w:r>
            <w:r w:rsidRPr="00885F1D">
              <w:rPr>
                <w:rFonts w:eastAsia="Times New Roman" w:cs="Times New Roman"/>
                <w:szCs w:val="24"/>
                <w:lang w:val="en-GB" w:eastAsia="it-IT"/>
              </w:rPr>
              <w:t>mg/dL)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176 (100 – 338)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59 – 230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Glucose (</w:t>
            </w:r>
            <w:r w:rsidRPr="00885F1D">
              <w:rPr>
                <w:rFonts w:eastAsia="Times New Roman" w:cs="Times New Roman"/>
                <w:szCs w:val="24"/>
                <w:lang w:val="en-GB" w:eastAsia="it-IT"/>
              </w:rPr>
              <w:t>mg/dL)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color w:val="FF0000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120 (65 – 278)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color w:val="FF0000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65 – 148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Times New Roman" w:cs="Times New Roman"/>
                <w:szCs w:val="24"/>
                <w:lang w:val="en-GB" w:eastAsia="it-IT"/>
              </w:rPr>
              <w:t>Albumin (g/dL)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3.67 (3.38 – 4.26)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Times New Roman" w:cs="Times New Roman"/>
                <w:szCs w:val="24"/>
                <w:lang w:val="en-GB" w:eastAsia="it-IT"/>
              </w:rPr>
              <w:t>2.6 – 4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 xml:space="preserve">Total Protein </w:t>
            </w:r>
            <w:r w:rsidRPr="00885F1D">
              <w:rPr>
                <w:rFonts w:eastAsia="Times New Roman" w:cs="Times New Roman"/>
                <w:szCs w:val="24"/>
                <w:lang w:val="en-GB" w:eastAsia="it-IT"/>
              </w:rPr>
              <w:t>(g/dL)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7.7 (6.93 – 8.79)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6.5 – 8.8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A:G (g:g)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0.94 (0.71 – 1.19)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0.52 – 1.2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Creatinine (</w:t>
            </w:r>
            <w:r w:rsidRPr="00885F1D">
              <w:rPr>
                <w:rFonts w:eastAsia="Times New Roman" w:cs="Times New Roman"/>
                <w:szCs w:val="24"/>
                <w:lang w:val="en-GB" w:eastAsia="it-IT"/>
              </w:rPr>
              <w:t>mg/dL)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1.54 (0.95 – 2.11)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0.8 – 1.8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Urea (</w:t>
            </w:r>
            <w:r w:rsidRPr="00885F1D">
              <w:rPr>
                <w:rFonts w:eastAsia="Times New Roman" w:cs="Times New Roman"/>
                <w:szCs w:val="24"/>
                <w:lang w:val="en-GB" w:eastAsia="it-IT"/>
              </w:rPr>
              <w:t>mg/dL)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49 (37 – 82)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30 – 65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Phosphate (</w:t>
            </w:r>
            <w:r w:rsidRPr="00885F1D">
              <w:rPr>
                <w:rFonts w:eastAsia="Times New Roman" w:cs="Times New Roman"/>
                <w:szCs w:val="24"/>
                <w:lang w:val="en-GB" w:eastAsia="it-IT"/>
              </w:rPr>
              <w:t>mg/dL)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4.33 (2.66 – 7.22)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2.5 – 6.2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Potassium (</w:t>
            </w:r>
            <w:r w:rsidRPr="00885F1D">
              <w:rPr>
                <w:rFonts w:eastAsia="Times New Roman" w:cs="Times New Roman"/>
                <w:szCs w:val="24"/>
                <w:lang w:val="en-GB" w:eastAsia="it-IT"/>
              </w:rPr>
              <w:t>mEq/L)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4.3 (3.6 – 5.2)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3.4 – 5.1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Sodium (</w:t>
            </w:r>
            <w:r w:rsidRPr="00885F1D">
              <w:rPr>
                <w:rFonts w:eastAsia="Times New Roman" w:cs="Times New Roman"/>
                <w:szCs w:val="24"/>
                <w:lang w:val="en-GB" w:eastAsia="it-IT"/>
              </w:rPr>
              <w:t>mEq/L)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154 (149 – 160)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145 – 155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color w:val="000000"/>
                <w:szCs w:val="24"/>
                <w:lang w:val="en-GB"/>
              </w:rPr>
              <w:t xml:space="preserve">Chloride </w:t>
            </w:r>
            <w:r w:rsidRPr="00885F1D">
              <w:rPr>
                <w:rFonts w:eastAsia="Calibri" w:cs="Times New Roman"/>
                <w:szCs w:val="24"/>
                <w:lang w:val="en-GB"/>
              </w:rPr>
              <w:t>(</w:t>
            </w:r>
            <w:r w:rsidRPr="00885F1D">
              <w:rPr>
                <w:rFonts w:eastAsia="Times New Roman" w:cs="Times New Roman"/>
                <w:szCs w:val="24"/>
                <w:lang w:val="en-GB" w:eastAsia="it-IT"/>
              </w:rPr>
              <w:t>mEq/L)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117.2 (113.2 – 122.9)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110 – 123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Magnesium (</w:t>
            </w:r>
            <w:r w:rsidRPr="00885F1D">
              <w:rPr>
                <w:rFonts w:eastAsia="Times New Roman" w:cs="Times New Roman"/>
                <w:szCs w:val="24"/>
                <w:lang w:val="en-GB" w:eastAsia="it-IT"/>
              </w:rPr>
              <w:t>mg/dL)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2.33 (1.98 – 2.75)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1.9 – 2.8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Total Calcium (</w:t>
            </w:r>
            <w:r w:rsidRPr="00885F1D">
              <w:rPr>
                <w:rFonts w:eastAsia="Times New Roman" w:cs="Times New Roman"/>
                <w:szCs w:val="24"/>
                <w:lang w:val="en-GB" w:eastAsia="it-IT"/>
              </w:rPr>
              <w:t>mg/dL)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10.2 (9.6 – 11.2)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8.5 – 10.5</w:t>
            </w:r>
          </w:p>
        </w:tc>
      </w:tr>
      <w:tr w:rsidR="00885F1D" w:rsidRPr="00885F1D" w:rsidTr="00885F1D">
        <w:trPr>
          <w:jc w:val="center"/>
        </w:trPr>
        <w:tc>
          <w:tcPr>
            <w:tcW w:w="2206" w:type="pct"/>
            <w:gridSpan w:val="2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Urinalysis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 xml:space="preserve">USG 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</w:rPr>
              <w:t>1052 (1015 – 1080)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&gt;1040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pH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  <w:r w:rsidRPr="00885F1D">
              <w:rPr>
                <w:rFonts w:eastAsia="Calibri" w:cs="Times New Roman"/>
                <w:szCs w:val="24"/>
              </w:rPr>
              <w:t>6 (6 – 7)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Glucose (mg/dL)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Negative*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Negative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jc w:val="both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Bilirubin (mg/dL)</w:t>
            </w:r>
          </w:p>
        </w:tc>
        <w:tc>
          <w:tcPr>
            <w:tcW w:w="1544" w:type="pct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Negative</w:t>
            </w:r>
          </w:p>
        </w:tc>
        <w:tc>
          <w:tcPr>
            <w:tcW w:w="1249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Negative</w:t>
            </w:r>
          </w:p>
        </w:tc>
      </w:tr>
      <w:tr w:rsidR="00885F1D" w:rsidRPr="00885F1D" w:rsidTr="00885F1D">
        <w:trPr>
          <w:jc w:val="center"/>
        </w:trPr>
        <w:tc>
          <w:tcPr>
            <w:tcW w:w="210" w:type="pct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</w:rPr>
            </w:pPr>
          </w:p>
        </w:tc>
        <w:tc>
          <w:tcPr>
            <w:tcW w:w="1996" w:type="pct"/>
          </w:tcPr>
          <w:p w:rsidR="00885F1D" w:rsidRPr="00885F1D" w:rsidRDefault="00885F1D" w:rsidP="00885F1D">
            <w:pPr>
              <w:spacing w:line="240" w:lineRule="auto"/>
              <w:contextualSpacing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>Microscopic sediment examination</w:t>
            </w:r>
          </w:p>
        </w:tc>
        <w:tc>
          <w:tcPr>
            <w:tcW w:w="2794" w:type="pct"/>
            <w:gridSpan w:val="2"/>
            <w:shd w:val="clear" w:color="auto" w:fill="auto"/>
          </w:tcPr>
          <w:p w:rsidR="00885F1D" w:rsidRPr="00885F1D" w:rsidRDefault="00885F1D" w:rsidP="00885F1D">
            <w:pPr>
              <w:spacing w:line="240" w:lineRule="auto"/>
              <w:rPr>
                <w:rFonts w:eastAsia="Calibri" w:cs="Times New Roman"/>
                <w:szCs w:val="24"/>
                <w:lang w:val="en-GB"/>
              </w:rPr>
            </w:pPr>
            <w:r w:rsidRPr="00885F1D">
              <w:rPr>
                <w:rFonts w:eastAsia="Calibri" w:cs="Times New Roman"/>
                <w:szCs w:val="24"/>
                <w:lang w:val="en-GB"/>
              </w:rPr>
              <w:t xml:space="preserve">11/19 cats had erythrocytes and/or leucocytes. Among these 11 cats, other findings included: struvite crystals (2/11), lipid droplets (2/11), amorphous crystals (1/11) and urothelial cells (1/11). 1/19 cat showed only the presence of rare lipid </w:t>
            </w:r>
            <w:r w:rsidRPr="00885F1D">
              <w:rPr>
                <w:rFonts w:eastAsia="Calibri" w:cs="Times New Roman"/>
                <w:szCs w:val="24"/>
                <w:lang w:val="en-GB"/>
              </w:rPr>
              <w:lastRenderedPageBreak/>
              <w:t xml:space="preserve">droplets and 1/19 cat only had spermaturia. No other microscopic findings were present in the remaining 6/19 cats   </w:t>
            </w:r>
          </w:p>
        </w:tc>
      </w:tr>
    </w:tbl>
    <w:p w:rsidR="006E4AC6" w:rsidRDefault="006E4AC6" w:rsidP="00283369">
      <w:pPr>
        <w:rPr>
          <w:rStyle w:val="hps"/>
          <w:rFonts w:cs="Times New Roman"/>
          <w:szCs w:val="24"/>
          <w:lang w:val="en-GB"/>
        </w:rPr>
      </w:pPr>
    </w:p>
    <w:p w:rsidR="006E4AC6" w:rsidRPr="0042166B" w:rsidRDefault="006E4AC6" w:rsidP="006E4AC6">
      <w:pPr>
        <w:rPr>
          <w:rStyle w:val="hps"/>
          <w:rFonts w:cs="Times New Roman"/>
          <w:szCs w:val="24"/>
          <w:lang w:val="en-GB"/>
        </w:rPr>
      </w:pPr>
      <w:r w:rsidRPr="0042166B">
        <w:rPr>
          <w:rStyle w:val="hps"/>
          <w:rFonts w:cs="Times New Roman"/>
          <w:szCs w:val="24"/>
          <w:lang w:val="en-GB"/>
        </w:rPr>
        <w:t>Data are reported as median and range (min – max). Blood samples were collected by standard venipuncture using a blood vacuum collection system (Vacutest Kima, Arzergrande, Italy), and concomitant urine samples were obtained using ultrasound-guided cystocentesis. For each cat, a K3 ethylene diamine tetra-acetic acid (K3EDTA) blood sample was used for the complete blood count (CBC), and the serum sample un</w:t>
      </w:r>
      <w:r>
        <w:rPr>
          <w:rStyle w:val="hps"/>
          <w:rFonts w:cs="Times New Roman"/>
          <w:szCs w:val="24"/>
          <w:lang w:val="en-GB"/>
        </w:rPr>
        <w:t xml:space="preserve">derwent a chemical profile. </w:t>
      </w:r>
      <w:r w:rsidRPr="0042166B">
        <w:rPr>
          <w:rStyle w:val="hps"/>
          <w:rFonts w:cs="Times New Roman"/>
          <w:szCs w:val="24"/>
          <w:lang w:val="en-GB"/>
        </w:rPr>
        <w:t>CBC was carried out using an automated h</w:t>
      </w:r>
      <w:r>
        <w:rPr>
          <w:rStyle w:val="hps"/>
          <w:rFonts w:cs="Times New Roman"/>
          <w:szCs w:val="24"/>
          <w:lang w:val="en-GB"/>
        </w:rPr>
        <w:t>aematology analyzer (ADVIA 2120,</w:t>
      </w:r>
      <w:r w:rsidRPr="0042166B">
        <w:rPr>
          <w:rStyle w:val="hps"/>
          <w:rFonts w:cs="Times New Roman"/>
          <w:szCs w:val="24"/>
          <w:lang w:val="en-GB"/>
        </w:rPr>
        <w:t xml:space="preserve"> Siemens Healthcare Diagnostics</w:t>
      </w:r>
      <w:r w:rsidRPr="00FB5B14">
        <w:rPr>
          <w:rStyle w:val="hps"/>
          <w:rFonts w:cs="Times New Roman"/>
          <w:szCs w:val="24"/>
          <w:lang w:val="en-GB"/>
        </w:rPr>
        <w:t>, Erlangen, Germany</w:t>
      </w:r>
      <w:r w:rsidRPr="0042166B">
        <w:rPr>
          <w:rStyle w:val="hps"/>
          <w:rFonts w:cs="Times New Roman"/>
          <w:szCs w:val="24"/>
          <w:lang w:val="en-GB"/>
        </w:rPr>
        <w:t>). Haematological evaluation was completed with a microscopic blood smear examination using May-Grünwald Giemsa staining. Serum chemistry profile was determined as reported previously (</w:t>
      </w:r>
      <w:r w:rsidRPr="000C3697">
        <w:rPr>
          <w:rStyle w:val="hps"/>
          <w:rFonts w:cs="Times New Roman"/>
          <w:szCs w:val="24"/>
          <w:lang w:val="en-GB"/>
        </w:rPr>
        <w:t>Urbani et al., 2020</w:t>
      </w:r>
      <w:r w:rsidRPr="0042166B">
        <w:rPr>
          <w:rStyle w:val="hps"/>
          <w:rFonts w:cs="Times New Roman"/>
          <w:szCs w:val="24"/>
          <w:lang w:val="en-GB"/>
        </w:rPr>
        <w:t>). Urinalysis included urine specific gr</w:t>
      </w:r>
      <w:r>
        <w:rPr>
          <w:rStyle w:val="hps"/>
          <w:rFonts w:cs="Times New Roman"/>
          <w:szCs w:val="24"/>
          <w:lang w:val="en-GB"/>
        </w:rPr>
        <w:t>avity, dipstick (Combur10TestUX,</w:t>
      </w:r>
      <w:r w:rsidRPr="0042166B">
        <w:rPr>
          <w:rStyle w:val="hps"/>
          <w:rFonts w:cs="Times New Roman"/>
          <w:szCs w:val="24"/>
          <w:lang w:val="en-GB"/>
        </w:rPr>
        <w:t xml:space="preserve"> Roche</w:t>
      </w:r>
      <w:r>
        <w:rPr>
          <w:rStyle w:val="hps"/>
          <w:rFonts w:cs="Times New Roman"/>
          <w:szCs w:val="24"/>
          <w:lang w:val="en-GB"/>
        </w:rPr>
        <w:t xml:space="preserve">, </w:t>
      </w:r>
      <w:r w:rsidRPr="00FB5B14">
        <w:rPr>
          <w:rStyle w:val="hps"/>
          <w:rFonts w:cs="Times New Roman"/>
          <w:szCs w:val="24"/>
          <w:lang w:val="en-GB"/>
        </w:rPr>
        <w:t>Basel, Switzerl</w:t>
      </w:r>
      <w:r w:rsidRPr="00301C5A">
        <w:rPr>
          <w:rStyle w:val="hps"/>
          <w:rFonts w:cs="Times New Roman"/>
          <w:szCs w:val="24"/>
          <w:lang w:val="en-GB"/>
        </w:rPr>
        <w:t>and) and microscopic sediment examination.</w:t>
      </w:r>
      <w:r w:rsidRPr="0042166B">
        <w:rPr>
          <w:rStyle w:val="hps"/>
          <w:rFonts w:cs="Times New Roman"/>
          <w:szCs w:val="24"/>
          <w:lang w:val="en-GB"/>
        </w:rPr>
        <w:t xml:space="preserve"> Serum chemical analysis w</w:t>
      </w:r>
      <w:r>
        <w:rPr>
          <w:rStyle w:val="hps"/>
          <w:rFonts w:cs="Times New Roman"/>
          <w:szCs w:val="24"/>
          <w:lang w:val="en-GB"/>
        </w:rPr>
        <w:t>as</w:t>
      </w:r>
      <w:r w:rsidRPr="0042166B">
        <w:rPr>
          <w:rStyle w:val="hps"/>
          <w:rFonts w:cs="Times New Roman"/>
          <w:szCs w:val="24"/>
          <w:lang w:val="en-GB"/>
        </w:rPr>
        <w:t xml:space="preserve"> carried out usi</w:t>
      </w:r>
      <w:r>
        <w:rPr>
          <w:rStyle w:val="hps"/>
          <w:rFonts w:cs="Times New Roman"/>
          <w:szCs w:val="24"/>
          <w:lang w:val="en-GB"/>
        </w:rPr>
        <w:t>ng an automated analyser (AU480,</w:t>
      </w:r>
      <w:r w:rsidRPr="0042166B">
        <w:rPr>
          <w:rStyle w:val="hps"/>
          <w:rFonts w:cs="Times New Roman"/>
          <w:szCs w:val="24"/>
          <w:lang w:val="en-GB"/>
        </w:rPr>
        <w:t xml:space="preserve"> Beckman Coulter-Olympus</w:t>
      </w:r>
      <w:r>
        <w:rPr>
          <w:rStyle w:val="hps"/>
          <w:rFonts w:cs="Times New Roman"/>
          <w:szCs w:val="24"/>
          <w:lang w:val="en-GB"/>
        </w:rPr>
        <w:t xml:space="preserve">, </w:t>
      </w:r>
      <w:r w:rsidRPr="00263C82">
        <w:rPr>
          <w:rStyle w:val="hps"/>
          <w:rFonts w:cs="Times New Roman"/>
          <w:szCs w:val="24"/>
          <w:lang w:val="en-GB"/>
        </w:rPr>
        <w:t>Brea, CA, USA</w:t>
      </w:r>
      <w:r w:rsidRPr="0042166B">
        <w:rPr>
          <w:rStyle w:val="hps"/>
          <w:rFonts w:cs="Times New Roman"/>
          <w:szCs w:val="24"/>
          <w:lang w:val="en-GB"/>
        </w:rPr>
        <w:t xml:space="preserve">). </w:t>
      </w:r>
    </w:p>
    <w:p w:rsidR="006E4AC6" w:rsidRDefault="006E4AC6" w:rsidP="006E4AC6">
      <w:pPr>
        <w:rPr>
          <w:rStyle w:val="hps"/>
          <w:rFonts w:cs="Times New Roman"/>
          <w:szCs w:val="24"/>
          <w:lang w:val="en-GB"/>
        </w:rPr>
      </w:pPr>
      <w:r w:rsidRPr="0042166B">
        <w:rPr>
          <w:rStyle w:val="hps"/>
          <w:rFonts w:cs="Times New Roman"/>
          <w:szCs w:val="24"/>
          <w:lang w:val="en-GB"/>
        </w:rPr>
        <w:t>A:G, albumin to globulin ratio; ALP, alkaline phosphatase level; ALT, alanine aminotransferase; AST, aspartate aminotransferase; GGT, gamma(γ)-glutamyl transferase; Hb, hemoglobin; Hct, hematocrit value; MCH, mean corpuscular haemoglobin; MCHC, mean corpuscular haemoglobin concentration; MCV, mean corpuscular volume; MPV, mean platelet volume; RBCs, red blood cells; RDW, red cell distribution width; USG, urine specific gravity; WBCs, white blood cells.</w:t>
      </w:r>
    </w:p>
    <w:p w:rsidR="00283369" w:rsidRDefault="006E4AC6" w:rsidP="006E4AC6">
      <w:pPr>
        <w:rPr>
          <w:rStyle w:val="hps"/>
          <w:rFonts w:cs="Times New Roman"/>
          <w:szCs w:val="24"/>
          <w:lang w:val="en-GB"/>
        </w:rPr>
      </w:pPr>
      <w:r>
        <w:rPr>
          <w:rStyle w:val="hps"/>
          <w:rFonts w:cs="Times New Roman"/>
          <w:szCs w:val="24"/>
          <w:lang w:val="en-GB"/>
        </w:rPr>
        <w:t>*U</w:t>
      </w:r>
      <w:r w:rsidRPr="009F52A9">
        <w:rPr>
          <w:rStyle w:val="hps"/>
          <w:rFonts w:cs="Times New Roman"/>
          <w:szCs w:val="24"/>
          <w:lang w:val="en-GB"/>
        </w:rPr>
        <w:t xml:space="preserve">rinary glucose </w:t>
      </w:r>
      <w:r>
        <w:rPr>
          <w:rStyle w:val="hps"/>
          <w:rFonts w:cs="Times New Roman"/>
          <w:szCs w:val="24"/>
          <w:lang w:val="en-GB"/>
        </w:rPr>
        <w:t>concentration was</w:t>
      </w:r>
      <w:r w:rsidRPr="009F52A9">
        <w:rPr>
          <w:rStyle w:val="hps"/>
          <w:rFonts w:cs="Times New Roman"/>
          <w:szCs w:val="24"/>
          <w:lang w:val="en-GB"/>
        </w:rPr>
        <w:t xml:space="preserve"> negative in all </w:t>
      </w:r>
      <w:r>
        <w:rPr>
          <w:rStyle w:val="hps"/>
          <w:rFonts w:cs="Times New Roman"/>
          <w:szCs w:val="24"/>
          <w:lang w:val="en-GB"/>
        </w:rPr>
        <w:t xml:space="preserve">the </w:t>
      </w:r>
      <w:r w:rsidRPr="009F52A9">
        <w:rPr>
          <w:rStyle w:val="hps"/>
          <w:rFonts w:cs="Times New Roman"/>
          <w:szCs w:val="24"/>
          <w:lang w:val="en-GB"/>
        </w:rPr>
        <w:t>cats</w:t>
      </w:r>
      <w:r>
        <w:rPr>
          <w:rStyle w:val="hps"/>
          <w:rFonts w:cs="Times New Roman"/>
          <w:szCs w:val="24"/>
          <w:lang w:val="en-GB"/>
        </w:rPr>
        <w:t xml:space="preserve"> included in the study,</w:t>
      </w:r>
      <w:r w:rsidRPr="009F52A9">
        <w:rPr>
          <w:rStyle w:val="hps"/>
          <w:rFonts w:cs="Times New Roman"/>
          <w:szCs w:val="24"/>
          <w:lang w:val="en-GB"/>
        </w:rPr>
        <w:t xml:space="preserve"> </w:t>
      </w:r>
      <w:r>
        <w:rPr>
          <w:rStyle w:val="hps"/>
          <w:rFonts w:cs="Times New Roman"/>
          <w:szCs w:val="24"/>
          <w:lang w:val="en-GB"/>
        </w:rPr>
        <w:t>only one cat resulted positive for a urinary glucose concentration of</w:t>
      </w:r>
      <w:r w:rsidRPr="009F52A9">
        <w:rPr>
          <w:rStyle w:val="hps"/>
          <w:rFonts w:cs="Times New Roman"/>
          <w:szCs w:val="24"/>
          <w:lang w:val="en-GB"/>
        </w:rPr>
        <w:t xml:space="preserve"> 50</w:t>
      </w:r>
      <w:r>
        <w:rPr>
          <w:rStyle w:val="hps"/>
          <w:rFonts w:cs="Times New Roman"/>
          <w:szCs w:val="24"/>
          <w:lang w:val="en-GB"/>
        </w:rPr>
        <w:t xml:space="preserve"> mg/dL</w:t>
      </w:r>
      <w:r w:rsidR="00283369">
        <w:rPr>
          <w:rStyle w:val="hps"/>
          <w:rFonts w:cs="Times New Roman"/>
          <w:szCs w:val="24"/>
          <w:lang w:val="en-GB"/>
        </w:rPr>
        <w:t>.</w:t>
      </w:r>
      <w:r w:rsidR="00283369">
        <w:rPr>
          <w:rStyle w:val="hps"/>
          <w:rFonts w:cs="Times New Roman"/>
          <w:szCs w:val="24"/>
          <w:lang w:val="en-GB"/>
        </w:rPr>
        <w:br w:type="page"/>
      </w:r>
    </w:p>
    <w:p w:rsidR="00050A67" w:rsidRDefault="00050A67" w:rsidP="00283369">
      <w:pPr>
        <w:rPr>
          <w:rFonts w:cs="Times New Roman"/>
          <w:b/>
          <w:szCs w:val="24"/>
          <w:lang w:val="en-GB"/>
        </w:rPr>
        <w:sectPr w:rsidR="00050A67" w:rsidSect="00885F1D">
          <w:footerReference w:type="default" r:id="rId7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:rsidR="006E4AC6" w:rsidRDefault="00283369" w:rsidP="00283369">
      <w:pPr>
        <w:rPr>
          <w:rFonts w:cs="Times New Roman"/>
          <w:b/>
          <w:szCs w:val="24"/>
          <w:lang w:val="en-GB"/>
        </w:rPr>
      </w:pPr>
      <w:r w:rsidRPr="006E4AC6">
        <w:rPr>
          <w:rFonts w:cs="Times New Roman"/>
          <w:b/>
          <w:szCs w:val="24"/>
          <w:lang w:val="en-GB"/>
        </w:rPr>
        <w:t>Within subject absolute and relative abundance of the taxa present in</w:t>
      </w:r>
      <w:r w:rsidR="006E4AC6">
        <w:rPr>
          <w:rFonts w:cs="Times New Roman"/>
          <w:b/>
          <w:szCs w:val="24"/>
          <w:lang w:val="en-GB"/>
        </w:rPr>
        <w:t xml:space="preserve"> different orders (</w:t>
      </w:r>
      <w:r w:rsidR="00050A67">
        <w:rPr>
          <w:rFonts w:cs="Times New Roman"/>
          <w:b/>
          <w:szCs w:val="24"/>
          <w:lang w:val="en-GB"/>
        </w:rPr>
        <w:t>colour</w:t>
      </w:r>
      <w:r w:rsidR="006E4AC6">
        <w:rPr>
          <w:rFonts w:cs="Times New Roman"/>
          <w:b/>
          <w:szCs w:val="24"/>
          <w:lang w:val="en-GB"/>
        </w:rPr>
        <w:t xml:space="preserve"> coded)</w:t>
      </w:r>
    </w:p>
    <w:p w:rsidR="006E4AC6" w:rsidRDefault="00050A67" w:rsidP="00283369">
      <w:pPr>
        <w:rPr>
          <w:rFonts w:cs="Times New Roman"/>
          <w:b/>
          <w:szCs w:val="24"/>
          <w:lang w:val="en-GB"/>
        </w:rPr>
      </w:pPr>
      <w:r>
        <w:rPr>
          <w:noProof/>
          <w:lang w:eastAsia="it-IT"/>
        </w:rPr>
        <w:drawing>
          <wp:inline distT="0" distB="0" distL="0" distR="0" wp14:anchorId="61AD2497" wp14:editId="0216E954">
            <wp:extent cx="9071610" cy="533463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7161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369" w:rsidRDefault="00283369" w:rsidP="00283369">
      <w:pPr>
        <w:rPr>
          <w:rFonts w:cs="Times New Roman"/>
          <w:szCs w:val="24"/>
          <w:lang w:val="en-GB"/>
        </w:rPr>
      </w:pPr>
      <w:r w:rsidRPr="00283369">
        <w:rPr>
          <w:rFonts w:cs="Times New Roman"/>
          <w:szCs w:val="24"/>
          <w:lang w:val="en-GB"/>
        </w:rPr>
        <w:t>The taxonomy was assigned to the sequence</w:t>
      </w:r>
      <w:r>
        <w:rPr>
          <w:rFonts w:cs="Times New Roman"/>
          <w:szCs w:val="24"/>
          <w:lang w:val="en-GB"/>
        </w:rPr>
        <w:t xml:space="preserve"> </w:t>
      </w:r>
      <w:r w:rsidRPr="00283369">
        <w:rPr>
          <w:rFonts w:cs="Times New Roman"/>
          <w:szCs w:val="24"/>
          <w:lang w:val="en-GB"/>
        </w:rPr>
        <w:t xml:space="preserve">variants using the naive Bayesian classifier method implemented in DADA2 </w:t>
      </w:r>
      <w:r w:rsidRPr="00283369">
        <w:rPr>
          <w:szCs w:val="24"/>
          <w:lang w:val="en-GB"/>
        </w:rPr>
        <w:t>version</w:t>
      </w:r>
      <w:r w:rsidRPr="00283369">
        <w:rPr>
          <w:lang w:val="en-GB"/>
        </w:rPr>
        <w:t xml:space="preserve"> </w:t>
      </w:r>
      <w:r w:rsidRPr="00283369">
        <w:rPr>
          <w:szCs w:val="24"/>
          <w:lang w:val="en-GB"/>
        </w:rPr>
        <w:t>1.26.0 pipeline (Callahan et al., 2016)</w:t>
      </w:r>
      <w:r w:rsidRPr="00283369">
        <w:rPr>
          <w:rFonts w:cs="Times New Roman"/>
          <w:szCs w:val="24"/>
          <w:lang w:val="en-GB"/>
        </w:rPr>
        <w:t xml:space="preserve">. </w:t>
      </w:r>
      <w:r w:rsidRPr="00283369">
        <w:rPr>
          <w:szCs w:val="24"/>
          <w:lang w:val="en-GB"/>
        </w:rPr>
        <w:t>To this purpose, the Silva taxonomic training data formatted for DADA2 (version 138; McLaren, 2020)</w:t>
      </w:r>
      <w:r w:rsidRPr="003A1AF3">
        <w:rPr>
          <w:szCs w:val="24"/>
          <w:lang w:val="en-GB"/>
        </w:rPr>
        <w:t xml:space="preserve"> </w:t>
      </w:r>
      <w:r w:rsidRPr="00BD5C8C">
        <w:rPr>
          <w:szCs w:val="24"/>
          <w:lang w:val="en-GB"/>
        </w:rPr>
        <w:t>was used as a reference</w:t>
      </w:r>
      <w:r>
        <w:rPr>
          <w:rFonts w:cs="Times New Roman"/>
          <w:szCs w:val="24"/>
          <w:lang w:val="en-GB"/>
        </w:rPr>
        <w:t>.</w:t>
      </w:r>
    </w:p>
    <w:p w:rsidR="006E4AC6" w:rsidRDefault="00283369" w:rsidP="006E4AC6">
      <w:pPr>
        <w:rPr>
          <w:rFonts w:cs="Times New Roman"/>
          <w:b/>
          <w:szCs w:val="24"/>
          <w:lang w:val="en-GB"/>
        </w:rPr>
      </w:pPr>
      <w:r w:rsidRPr="003A1AF3">
        <w:rPr>
          <w:szCs w:val="24"/>
          <w:lang w:val="en-GB"/>
        </w:rPr>
        <w:t>NCS01 and NCS02, negative control</w:t>
      </w:r>
      <w:r>
        <w:rPr>
          <w:szCs w:val="24"/>
          <w:lang w:val="en-GB"/>
        </w:rPr>
        <w:t>s</w:t>
      </w:r>
      <w:r w:rsidRPr="003A1AF3">
        <w:rPr>
          <w:szCs w:val="24"/>
          <w:lang w:val="en-GB"/>
        </w:rPr>
        <w:t xml:space="preserve"> to 16S rRNA gene sequencing carried out at the beginning and at the end of the study, respectively</w:t>
      </w:r>
      <w:r w:rsidRPr="00283369">
        <w:rPr>
          <w:rFonts w:cs="Times New Roman"/>
          <w:szCs w:val="24"/>
          <w:lang w:val="en-GB"/>
        </w:rPr>
        <w:t>.</w:t>
      </w:r>
      <w:r w:rsidR="006E4AC6">
        <w:rPr>
          <w:rFonts w:cs="Times New Roman"/>
          <w:b/>
          <w:szCs w:val="24"/>
          <w:lang w:val="en-GB"/>
        </w:rPr>
        <w:br w:type="page"/>
      </w:r>
    </w:p>
    <w:p w:rsidR="006E4AC6" w:rsidRDefault="00ED44AF" w:rsidP="00ED44AF">
      <w:pPr>
        <w:rPr>
          <w:rFonts w:cs="Times New Roman"/>
          <w:b/>
          <w:szCs w:val="24"/>
          <w:lang w:val="en-GB"/>
        </w:rPr>
      </w:pPr>
      <w:r w:rsidRPr="006E4AC6">
        <w:rPr>
          <w:rFonts w:cs="Times New Roman"/>
          <w:b/>
          <w:szCs w:val="24"/>
          <w:lang w:val="en-GB"/>
        </w:rPr>
        <w:t>Within subject absolute and relative abundance of the taxa present in different genera</w:t>
      </w:r>
      <w:r w:rsidR="006E4AC6">
        <w:rPr>
          <w:rFonts w:cs="Times New Roman"/>
          <w:b/>
          <w:szCs w:val="24"/>
          <w:lang w:val="en-GB"/>
        </w:rPr>
        <w:t xml:space="preserve"> (</w:t>
      </w:r>
      <w:r w:rsidR="00050A67">
        <w:rPr>
          <w:rFonts w:cs="Times New Roman"/>
          <w:b/>
          <w:szCs w:val="24"/>
          <w:lang w:val="en-GB"/>
        </w:rPr>
        <w:t>colour</w:t>
      </w:r>
      <w:bookmarkStart w:id="0" w:name="_GoBack"/>
      <w:bookmarkEnd w:id="0"/>
      <w:r w:rsidR="006E4AC6">
        <w:rPr>
          <w:rFonts w:cs="Times New Roman"/>
          <w:b/>
          <w:szCs w:val="24"/>
          <w:lang w:val="en-GB"/>
        </w:rPr>
        <w:t xml:space="preserve"> coded)</w:t>
      </w:r>
    </w:p>
    <w:p w:rsidR="006E4AC6" w:rsidRDefault="00050A67" w:rsidP="00ED44AF">
      <w:pPr>
        <w:rPr>
          <w:rFonts w:cs="Times New Roman"/>
          <w:b/>
          <w:szCs w:val="24"/>
          <w:lang w:val="en-GB"/>
        </w:rPr>
      </w:pPr>
      <w:r>
        <w:rPr>
          <w:noProof/>
          <w:lang w:eastAsia="it-IT"/>
        </w:rPr>
        <w:drawing>
          <wp:inline distT="0" distB="0" distL="0" distR="0" wp14:anchorId="285F05C6" wp14:editId="53B81FD4">
            <wp:extent cx="8984673" cy="5309296"/>
            <wp:effectExtent l="0" t="0" r="6985" b="571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87369" cy="531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4AF" w:rsidRDefault="00ED44AF" w:rsidP="00ED44AF">
      <w:pPr>
        <w:rPr>
          <w:rFonts w:cs="Times New Roman"/>
          <w:szCs w:val="24"/>
          <w:lang w:val="en-GB"/>
        </w:rPr>
      </w:pPr>
      <w:r w:rsidRPr="00283369">
        <w:rPr>
          <w:rFonts w:cs="Times New Roman"/>
          <w:szCs w:val="24"/>
          <w:lang w:val="en-GB"/>
        </w:rPr>
        <w:t>The taxonomy was assigned to the sequence</w:t>
      </w:r>
      <w:r>
        <w:rPr>
          <w:rFonts w:cs="Times New Roman"/>
          <w:szCs w:val="24"/>
          <w:lang w:val="en-GB"/>
        </w:rPr>
        <w:t xml:space="preserve"> </w:t>
      </w:r>
      <w:r w:rsidRPr="00283369">
        <w:rPr>
          <w:rFonts w:cs="Times New Roman"/>
          <w:szCs w:val="24"/>
          <w:lang w:val="en-GB"/>
        </w:rPr>
        <w:t xml:space="preserve">variants using the naive Bayesian classifier method implemented in DADA2 </w:t>
      </w:r>
      <w:r w:rsidRPr="00283369">
        <w:rPr>
          <w:szCs w:val="24"/>
          <w:lang w:val="en-GB"/>
        </w:rPr>
        <w:t>version</w:t>
      </w:r>
      <w:r w:rsidRPr="00283369">
        <w:rPr>
          <w:lang w:val="en-GB"/>
        </w:rPr>
        <w:t xml:space="preserve"> </w:t>
      </w:r>
      <w:r w:rsidRPr="00283369">
        <w:rPr>
          <w:szCs w:val="24"/>
          <w:lang w:val="en-GB"/>
        </w:rPr>
        <w:t>1.26.0 pipeline (Callahan et al., 2016)</w:t>
      </w:r>
      <w:r w:rsidRPr="00283369">
        <w:rPr>
          <w:rFonts w:cs="Times New Roman"/>
          <w:szCs w:val="24"/>
          <w:lang w:val="en-GB"/>
        </w:rPr>
        <w:t xml:space="preserve">. </w:t>
      </w:r>
      <w:r w:rsidRPr="00283369">
        <w:rPr>
          <w:szCs w:val="24"/>
          <w:lang w:val="en-GB"/>
        </w:rPr>
        <w:t>To this purpose, the Silva taxonomic training data formatted for DADA2 (version 138; McLaren, 2020)</w:t>
      </w:r>
      <w:r w:rsidRPr="003A1AF3">
        <w:rPr>
          <w:szCs w:val="24"/>
          <w:lang w:val="en-GB"/>
        </w:rPr>
        <w:t xml:space="preserve"> </w:t>
      </w:r>
      <w:r w:rsidRPr="00BD5C8C">
        <w:rPr>
          <w:szCs w:val="24"/>
          <w:lang w:val="en-GB"/>
        </w:rPr>
        <w:t>was used as a reference</w:t>
      </w:r>
      <w:r>
        <w:rPr>
          <w:rFonts w:cs="Times New Roman"/>
          <w:szCs w:val="24"/>
          <w:lang w:val="en-GB"/>
        </w:rPr>
        <w:t>.</w:t>
      </w:r>
    </w:p>
    <w:p w:rsidR="00ED44AF" w:rsidRPr="00283369" w:rsidRDefault="00ED44AF" w:rsidP="00283369">
      <w:pPr>
        <w:rPr>
          <w:rFonts w:cs="Times New Roman"/>
          <w:szCs w:val="24"/>
          <w:lang w:val="en-GB"/>
        </w:rPr>
      </w:pPr>
      <w:r w:rsidRPr="003A1AF3">
        <w:rPr>
          <w:szCs w:val="24"/>
          <w:lang w:val="en-GB"/>
        </w:rPr>
        <w:t>NCS01 and NCS02, negative control</w:t>
      </w:r>
      <w:r>
        <w:rPr>
          <w:szCs w:val="24"/>
          <w:lang w:val="en-GB"/>
        </w:rPr>
        <w:t>s</w:t>
      </w:r>
      <w:r w:rsidRPr="003A1AF3">
        <w:rPr>
          <w:szCs w:val="24"/>
          <w:lang w:val="en-GB"/>
        </w:rPr>
        <w:t xml:space="preserve"> to 16S rRNA gene sequencing carried out at the beginning and at the end of the study, respectively</w:t>
      </w:r>
      <w:r w:rsidRPr="00283369">
        <w:rPr>
          <w:rFonts w:cs="Times New Roman"/>
          <w:szCs w:val="24"/>
          <w:lang w:val="en-GB"/>
        </w:rPr>
        <w:t>.</w:t>
      </w:r>
    </w:p>
    <w:sectPr w:rsidR="00ED44AF" w:rsidRPr="00283369" w:rsidSect="00050A67">
      <w:pgSz w:w="16838" w:h="11906" w:orient="landscape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65F6" w:rsidRDefault="00A965F6" w:rsidP="00DD0FF1">
      <w:pPr>
        <w:spacing w:line="240" w:lineRule="auto"/>
      </w:pPr>
      <w:r>
        <w:separator/>
      </w:r>
    </w:p>
  </w:endnote>
  <w:endnote w:type="continuationSeparator" w:id="0">
    <w:p w:rsidR="00A965F6" w:rsidRDefault="00A965F6" w:rsidP="00DD0F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9250185"/>
      <w:docPartObj>
        <w:docPartGallery w:val="Page Numbers (Bottom of Page)"/>
        <w:docPartUnique/>
      </w:docPartObj>
    </w:sdtPr>
    <w:sdtEndPr/>
    <w:sdtContent>
      <w:p w:rsidR="00DD0FF1" w:rsidRDefault="00DD0FF1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65F6">
          <w:rPr>
            <w:noProof/>
          </w:rPr>
          <w:t>1</w:t>
        </w:r>
        <w:r>
          <w:fldChar w:fldCharType="end"/>
        </w:r>
      </w:p>
    </w:sdtContent>
  </w:sdt>
  <w:p w:rsidR="00DD0FF1" w:rsidRDefault="00DD0FF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65F6" w:rsidRDefault="00A965F6" w:rsidP="00DD0FF1">
      <w:pPr>
        <w:spacing w:line="240" w:lineRule="auto"/>
      </w:pPr>
      <w:r>
        <w:separator/>
      </w:r>
    </w:p>
  </w:footnote>
  <w:footnote w:type="continuationSeparator" w:id="0">
    <w:p w:rsidR="00A965F6" w:rsidRDefault="00A965F6" w:rsidP="00DD0F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834B95"/>
    <w:multiLevelType w:val="hybridMultilevel"/>
    <w:tmpl w:val="EB8CEC3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4F8"/>
    <w:rsid w:val="00050A67"/>
    <w:rsid w:val="000D3EA6"/>
    <w:rsid w:val="00283369"/>
    <w:rsid w:val="002E5F7E"/>
    <w:rsid w:val="00302AF2"/>
    <w:rsid w:val="006E4AC6"/>
    <w:rsid w:val="007624F8"/>
    <w:rsid w:val="0082420D"/>
    <w:rsid w:val="00885F1D"/>
    <w:rsid w:val="00A965F6"/>
    <w:rsid w:val="00AF7579"/>
    <w:rsid w:val="00C53D68"/>
    <w:rsid w:val="00D6163A"/>
    <w:rsid w:val="00DD0FF1"/>
    <w:rsid w:val="00E54BF2"/>
    <w:rsid w:val="00ED197E"/>
    <w:rsid w:val="00ED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D25642"/>
  <w15:chartTrackingRefBased/>
  <w15:docId w15:val="{88A31745-D95E-482C-9B4F-B3014D9D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DD0FF1"/>
    <w:pPr>
      <w:spacing w:after="0" w:line="480" w:lineRule="auto"/>
    </w:pPr>
    <w:rPr>
      <w:rFonts w:ascii="Times New Roman" w:hAnsi="Times New Roman"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D0FF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D0FF1"/>
    <w:rPr>
      <w:rFonts w:ascii="Times New Roman" w:hAnsi="Times New Roman"/>
      <w:sz w:val="24"/>
    </w:rPr>
  </w:style>
  <w:style w:type="paragraph" w:styleId="Pidipagina">
    <w:name w:val="footer"/>
    <w:basedOn w:val="Normale"/>
    <w:link w:val="PidipaginaCarattere"/>
    <w:uiPriority w:val="99"/>
    <w:unhideWhenUsed/>
    <w:rsid w:val="00DD0FF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D0FF1"/>
    <w:rPr>
      <w:rFonts w:ascii="Times New Roman" w:hAnsi="Times New Roman"/>
      <w:sz w:val="24"/>
    </w:rPr>
  </w:style>
  <w:style w:type="character" w:styleId="Numeroriga">
    <w:name w:val="line number"/>
    <w:basedOn w:val="Carpredefinitoparagrafo"/>
    <w:uiPriority w:val="99"/>
    <w:semiHidden/>
    <w:unhideWhenUsed/>
    <w:rsid w:val="00DD0FF1"/>
  </w:style>
  <w:style w:type="paragraph" w:styleId="Paragrafoelenco">
    <w:name w:val="List Paragraph"/>
    <w:basedOn w:val="Normale"/>
    <w:uiPriority w:val="34"/>
    <w:qFormat/>
    <w:rsid w:val="00E54BF2"/>
    <w:pPr>
      <w:ind w:left="720"/>
      <w:contextualSpacing/>
    </w:pPr>
  </w:style>
  <w:style w:type="character" w:customStyle="1" w:styleId="tlid-translation">
    <w:name w:val="tlid-translation"/>
    <w:basedOn w:val="Carpredefinitoparagrafo"/>
    <w:qFormat/>
    <w:rsid w:val="00E54BF2"/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qFormat/>
    <w:rsid w:val="00E54BF2"/>
    <w:rPr>
      <w:rFonts w:ascii="Segoe UI" w:hAnsi="Segoe UI" w:cs="Segoe UI"/>
      <w:sz w:val="18"/>
      <w:szCs w:val="18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qFormat/>
    <w:rsid w:val="00E54BF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1">
    <w:name w:val="Testo fumetto Carattere1"/>
    <w:basedOn w:val="Carpredefinitoparagrafo"/>
    <w:uiPriority w:val="99"/>
    <w:semiHidden/>
    <w:rsid w:val="00E54BF2"/>
    <w:rPr>
      <w:rFonts w:ascii="Segoe UI" w:hAnsi="Segoe UI" w:cs="Segoe UI"/>
      <w:sz w:val="18"/>
      <w:szCs w:val="18"/>
    </w:rPr>
  </w:style>
  <w:style w:type="character" w:customStyle="1" w:styleId="hps">
    <w:name w:val="hps"/>
    <w:basedOn w:val="Carpredefinitoparagrafo"/>
    <w:rsid w:val="00283369"/>
  </w:style>
  <w:style w:type="table" w:customStyle="1" w:styleId="Grigliatabella1">
    <w:name w:val="Griglia tabella1"/>
    <w:basedOn w:val="Tabellanormale"/>
    <w:next w:val="Grigliatabella"/>
    <w:uiPriority w:val="39"/>
    <w:rsid w:val="00885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">
    <w:name w:val="Table Grid"/>
    <w:basedOn w:val="Tabellanormale"/>
    <w:uiPriority w:val="39"/>
    <w:rsid w:val="00885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Balboni</dc:creator>
  <cp:keywords/>
  <dc:description/>
  <cp:lastModifiedBy>Andrea Balboni</cp:lastModifiedBy>
  <cp:revision>10</cp:revision>
  <dcterms:created xsi:type="dcterms:W3CDTF">2020-03-21T13:57:00Z</dcterms:created>
  <dcterms:modified xsi:type="dcterms:W3CDTF">2023-05-24T13:33:00Z</dcterms:modified>
</cp:coreProperties>
</file>