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Pr="00AA570B"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AA570B">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AA570B">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2C97FC3" w:rsidR="00AA570B" w:rsidRP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CE730BB"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151427DF"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37320" w:rsidRPr="00737320">
        <w:rPr>
          <w:rFonts w:ascii="Times New Roman" w:hAnsi="Times New Roman" w:cs="Times New Roman"/>
          <w:b/>
          <w:bCs/>
        </w:rPr>
        <w:t>initial_generalized_coordinate_deviation</w:t>
      </w:r>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E807CC"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E27F31" w:rsidRPr="00E27F31">
        <w:rPr>
          <w:rFonts w:ascii="Times New Roman" w:hAnsi="Times New Roman" w:cs="Times New Roman"/>
          <w:b/>
          <w:bCs/>
        </w:rPr>
        <w:t>final_marker_position_deviation</w:t>
      </w:r>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3043AA" w:rsidRPr="003043AA">
        <w:rPr>
          <w:rFonts w:ascii="Times New Roman" w:hAnsi="Times New Roman" w:cs="Times New Roman"/>
          <w:b/>
          <w:bCs/>
        </w:rPr>
        <w:t>R_Toe</w:t>
      </w:r>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9738AC" w:rsidRPr="009738AC">
        <w:rPr>
          <w:rFonts w:ascii="Times New Roman" w:hAnsi="Times New Roman" w:cs="Times New Roman"/>
          <w:b/>
          <w:bCs/>
        </w:rPr>
        <w:t>final_body_orientation_deviation</w:t>
      </w:r>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6B561C" w:rsidRPr="006B561C">
        <w:rPr>
          <w:rFonts w:ascii="Times New Roman" w:hAnsi="Times New Roman" w:cs="Times New Roman"/>
          <w:b/>
          <w:bCs/>
        </w:rPr>
        <w:t>calcn_r</w:t>
      </w:r>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430C0" w:rsidRPr="007430C0">
        <w:rPr>
          <w:rFonts w:ascii="Times New Roman" w:hAnsi="Times New Roman" w:cs="Times New Roman"/>
          <w:b/>
          <w:bCs/>
        </w:rPr>
        <w:t>final_marker_velocity_value</w:t>
      </w:r>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7D7B97" w:rsidRPr="007D7B97">
        <w:rPr>
          <w:rFonts w:ascii="Times New Roman" w:hAnsi="Times New Roman" w:cs="Times New Roman"/>
          <w:b/>
          <w:bCs/>
        </w:rPr>
        <w:t>R_Toe</w:t>
      </w:r>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5C0EA116" w14:textId="12098677" w:rsidR="00B01A14" w:rsidRPr="00B01A14" w:rsidRDefault="00E50661" w:rsidP="00B01A14">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076E6522"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&lt;RCNLConstraintTerm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25C7428E" w14:textId="13BAA841"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4DD8A464"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w:t>
      </w:r>
      <w:r w:rsidR="002B04AE">
        <w:rPr>
          <w:rFonts w:ascii="Times New Roman" w:hAnsi="Times New Roman" w:cs="Times New Roman"/>
          <w:b/>
          <w:bCs/>
        </w:rPr>
        <w:t>V1</w:t>
      </w:r>
      <w:r w:rsidR="001E149E" w:rsidRPr="0014698B">
        <w:rPr>
          <w:rFonts w:ascii="Times New Roman" w:hAnsi="Times New Roman" w:cs="Times New Roman"/>
          <w:b/>
          <w:bCs/>
        </w:rPr>
        <w:t>.xml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&lt;RCNLConstraintTerm&gt;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r w:rsidR="00354E5E">
        <w:rPr>
          <w:rFonts w:ascii="Courier New" w:hAnsi="Courier New" w:cs="Courier New"/>
          <w:color w:val="0000FF"/>
        </w:rPr>
        <w:t>max_error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r w:rsidR="00354E5E">
        <w:rPr>
          <w:rFonts w:ascii="Courier New" w:hAnsi="Courier New" w:cs="Courier New"/>
          <w:color w:val="0000FF"/>
        </w:rPr>
        <w:t>min_error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3574F3B8" w14:textId="016E1514" w:rsidR="00A005D1" w:rsidRDefault="00A005D1" w:rsidP="00A005D1">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13BD419" w14:textId="6A0BE5D5"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Just like we have user defined cost terms, we also have user defined constraint terms</w:t>
      </w:r>
    </w:p>
    <w:p w14:paraId="067FEE33" w14:textId="0D0CB3DC"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Next, we will use a pre-made user defined constraint term that increases the kick speed.</w:t>
      </w:r>
    </w:p>
    <w:p w14:paraId="6F2ED979" w14:textId="58334B7D"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We already have a constraint term that increases the toe marker velocity, so we will recreate that same constraint in the user defined framework for demonstration</w:t>
      </w:r>
      <w:r w:rsidR="005F796E">
        <w:rPr>
          <w:rFonts w:ascii="Times New Roman" w:hAnsi="Times New Roman" w:cs="Times New Roman"/>
        </w:rPr>
        <w:t xml:space="preserve">. This constraint term is in </w:t>
      </w:r>
      <w:r w:rsidR="005F796E">
        <w:rPr>
          <w:rFonts w:ascii="Times New Roman" w:hAnsi="Times New Roman" w:cs="Times New Roman"/>
          <w:b/>
          <w:bCs/>
        </w:rPr>
        <w:t>footSpeedConstraint.m</w:t>
      </w:r>
    </w:p>
    <w:p w14:paraId="2B7BDA9F" w14:textId="6FD36D09" w:rsidR="00A005D1" w:rsidRDefault="00A005D1" w:rsidP="00A005D1">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TorqueDOSettingsV3</w:t>
      </w:r>
      <w:r>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Pr>
          <w:rFonts w:ascii="Times New Roman" w:hAnsi="Times New Roman" w:cs="Times New Roman"/>
          <w:b/>
          <w:bCs/>
        </w:rPr>
        <w:t>5.xml</w:t>
      </w:r>
    </w:p>
    <w:p w14:paraId="497EE0CD" w14:textId="472D4754" w:rsidR="00A005D1" w:rsidRPr="0093645E" w:rsidRDefault="00A005D1" w:rsidP="00A005D1">
      <w:pPr>
        <w:pStyle w:val="ListParagraph"/>
        <w:numPr>
          <w:ilvl w:val="0"/>
          <w:numId w:val="3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Pr>
          <w:rFonts w:ascii="Times New Roman" w:hAnsi="Times New Roman" w:cs="Times New Roman"/>
          <w:b/>
          <w:bCs/>
        </w:rPr>
        <w:t>5</w:t>
      </w:r>
      <w:r w:rsidRPr="0093645E">
        <w:rPr>
          <w:rFonts w:ascii="Times New Roman" w:hAnsi="Times New Roman" w:cs="Times New Roman"/>
          <w:b/>
          <w:bCs/>
        </w:rPr>
        <w:t>.</w:t>
      </w:r>
    </w:p>
    <w:p w14:paraId="1DAC3208" w14:textId="4AE8725F" w:rsidR="00A84F64" w:rsidRDefault="00A84F64" w:rsidP="00A84F64">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To include this constraint term in the settings file, copy the following lines into your </w:t>
      </w:r>
      <w:r w:rsidRPr="004738A5">
        <w:rPr>
          <w:rFonts w:ascii="Courier New" w:hAnsi="Courier New" w:cs="Courier New"/>
          <w:color w:val="0000FF"/>
        </w:rPr>
        <w:t>&lt;RCNLCo</w:t>
      </w:r>
      <w:r w:rsidR="006647D1">
        <w:rPr>
          <w:rFonts w:ascii="Courier New" w:hAnsi="Courier New" w:cs="Courier New"/>
          <w:color w:val="0000FF"/>
        </w:rPr>
        <w:t>nstr</w:t>
      </w:r>
      <w:r w:rsidR="006647D1" w:rsidRPr="00FE0C1A">
        <w:rPr>
          <w:rFonts w:ascii="Courier New" w:hAnsi="Courier New" w:cs="Courier New"/>
          <w:color w:val="0000FF"/>
        </w:rPr>
        <w:t>aint</w:t>
      </w:r>
      <w:r w:rsidRPr="00FE0C1A">
        <w:rPr>
          <w:rFonts w:ascii="Courier New" w:hAnsi="Courier New" w:cs="Courier New"/>
          <w:color w:val="0000FF"/>
        </w:rPr>
        <w:t>TermSet</w:t>
      </w:r>
      <w:r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85223B" w14:paraId="1022A065" w14:textId="77777777" w:rsidTr="0085223B">
        <w:tc>
          <w:tcPr>
            <w:tcW w:w="9350" w:type="dxa"/>
          </w:tcPr>
          <w:p w14:paraId="452F0BC7" w14:textId="77777777"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color w:val="0000FF"/>
                <w:sz w:val="18"/>
                <w:szCs w:val="18"/>
              </w:rPr>
              <w:lastRenderedPageBreak/>
              <w:t xml:space="preserve">&lt;RCNLConstraintTerm </w:t>
            </w:r>
            <w:r w:rsidRPr="0065287A">
              <w:rPr>
                <w:rFonts w:ascii="Courier New" w:hAnsi="Courier New" w:cs="Courier New"/>
                <w:sz w:val="18"/>
                <w:szCs w:val="18"/>
              </w:rPr>
              <w:t>name="Toe marker final velocity"&gt;</w:t>
            </w:r>
          </w:p>
          <w:p w14:paraId="7D46FD7A" w14:textId="7187DD78" w:rsidR="0085223B" w:rsidRPr="0065287A" w:rsidRDefault="006B2272"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0085223B" w:rsidRPr="0065287A">
              <w:rPr>
                <w:rFonts w:ascii="Courier New" w:hAnsi="Courier New" w:cs="Courier New"/>
                <w:color w:val="0000FF"/>
                <w:sz w:val="18"/>
                <w:szCs w:val="18"/>
              </w:rPr>
              <w:t>&lt;is_enabled&gt;</w:t>
            </w:r>
            <w:r w:rsidR="0085223B" w:rsidRPr="0065287A">
              <w:rPr>
                <w:rFonts w:ascii="Courier New" w:hAnsi="Courier New" w:cs="Courier New"/>
                <w:sz w:val="18"/>
                <w:szCs w:val="18"/>
              </w:rPr>
              <w:t>true</w:t>
            </w:r>
            <w:r w:rsidR="0085223B" w:rsidRPr="0065287A">
              <w:rPr>
                <w:rFonts w:ascii="Courier New" w:hAnsi="Courier New" w:cs="Courier New"/>
                <w:color w:val="0000FF"/>
                <w:sz w:val="18"/>
                <w:szCs w:val="18"/>
              </w:rPr>
              <w:t>&lt;/is_enabled&gt;</w:t>
            </w:r>
          </w:p>
          <w:p w14:paraId="38E3B553" w14:textId="291DE2A1"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12AFF770" w14:textId="63F1B466"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03B445B4" w14:textId="2437AE0B"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5E2BED7" w14:textId="16A862A2"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56C01DA3" w14:textId="2ADA996D"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&lt;!--Name of Matlab function defining constraint term.--&gt;</w:t>
            </w:r>
          </w:p>
          <w:p w14:paraId="18CA7393" w14:textId="51C239E5"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759FB4EE" w14:textId="7235210C"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0AED0A9F" w14:textId="5B85C71E"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42BD287D" w14:textId="50164951"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6DC71C1F" w14:textId="38261F77"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0A8ED3DE" w14:textId="2678E253"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132BBDF2" w14:textId="6FD098D0" w:rsidR="0085223B" w:rsidRPr="0085223B" w:rsidRDefault="0085223B" w:rsidP="006B2272">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4BC3131" w14:textId="7777777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72B82A18" w14:textId="70592A3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w:t>
      </w:r>
      <w:r>
        <w:rPr>
          <w:rFonts w:ascii="Times New Roman" w:hAnsi="Times New Roman" w:cs="Times New Roman"/>
          <w:b/>
          <w:bCs/>
        </w:rPr>
        <w:t>5</w:t>
      </w:r>
      <w:r>
        <w:rPr>
          <w:rFonts w:ascii="Times New Roman" w:hAnsi="Times New Roman" w:cs="Times New Roman"/>
        </w:rPr>
        <w:t>.</w:t>
      </w:r>
    </w:p>
    <w:p w14:paraId="4CD11E32" w14:textId="77777777" w:rsidR="00A005D1" w:rsidRPr="0085223B" w:rsidRDefault="00A005D1" w:rsidP="0085223B">
      <w:pPr>
        <w:spacing w:before="240" w:line="276" w:lineRule="auto"/>
        <w:rPr>
          <w:rFonts w:ascii="Times New Roman" w:hAnsi="Times New Roman" w:cs="Times New Roman"/>
          <w:i/>
          <w:iCs/>
        </w:rPr>
      </w:pP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02E3EEE4"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w:t>
      </w:r>
      <w:r w:rsidR="00CC2851">
        <w:rPr>
          <w:rFonts w:ascii="Times New Roman" w:hAnsi="Times New Roman" w:cs="Times New Roman"/>
        </w:rPr>
        <w:t>,</w:t>
      </w:r>
      <w:r w:rsidR="009911FD">
        <w:rPr>
          <w:rFonts w:ascii="Times New Roman" w:hAnsi="Times New Roman" w:cs="Times New Roman"/>
        </w:rPr>
        <w:t xml:space="preserve"> iteration 4 (using a user defined cost term)</w:t>
      </w:r>
      <w:r w:rsidR="00CC2851">
        <w:rPr>
          <w:rFonts w:ascii="Times New Roman" w:hAnsi="Times New Roman" w:cs="Times New Roman"/>
        </w:rPr>
        <w:t>, and iteration 5 (using a user defined constraint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877F3"/>
    <w:rsid w:val="0009312C"/>
    <w:rsid w:val="000A4AAB"/>
    <w:rsid w:val="000A5B74"/>
    <w:rsid w:val="000B44CC"/>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5EFB"/>
    <w:rsid w:val="00276825"/>
    <w:rsid w:val="00281A7D"/>
    <w:rsid w:val="002A3C8A"/>
    <w:rsid w:val="002A6FB6"/>
    <w:rsid w:val="002B04AE"/>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373A"/>
    <w:rsid w:val="004F770E"/>
    <w:rsid w:val="005013BA"/>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5F796E"/>
    <w:rsid w:val="00602F0C"/>
    <w:rsid w:val="00614A95"/>
    <w:rsid w:val="00615D2E"/>
    <w:rsid w:val="00620089"/>
    <w:rsid w:val="006266AF"/>
    <w:rsid w:val="00631EB6"/>
    <w:rsid w:val="0063694E"/>
    <w:rsid w:val="00637459"/>
    <w:rsid w:val="006422ED"/>
    <w:rsid w:val="006425ED"/>
    <w:rsid w:val="0065128A"/>
    <w:rsid w:val="0065287A"/>
    <w:rsid w:val="00660CDA"/>
    <w:rsid w:val="006647D1"/>
    <w:rsid w:val="00671E25"/>
    <w:rsid w:val="00676E6A"/>
    <w:rsid w:val="00681F60"/>
    <w:rsid w:val="006848C1"/>
    <w:rsid w:val="00691546"/>
    <w:rsid w:val="00692F1A"/>
    <w:rsid w:val="00695830"/>
    <w:rsid w:val="006B2272"/>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2B6C"/>
    <w:rsid w:val="0073620F"/>
    <w:rsid w:val="00737320"/>
    <w:rsid w:val="00742C37"/>
    <w:rsid w:val="007430C0"/>
    <w:rsid w:val="00746E30"/>
    <w:rsid w:val="00747479"/>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04B1"/>
    <w:rsid w:val="008F35EB"/>
    <w:rsid w:val="008F39A9"/>
    <w:rsid w:val="008F4353"/>
    <w:rsid w:val="00903E44"/>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005D1"/>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D20"/>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B01A14"/>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708C2"/>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04"/>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16</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254</cp:revision>
  <dcterms:created xsi:type="dcterms:W3CDTF">2025-05-23T21:48:00Z</dcterms:created>
  <dcterms:modified xsi:type="dcterms:W3CDTF">2025-05-29T20:18:00Z</dcterms:modified>
</cp:coreProperties>
</file>