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left"/>
      </w:pPr>
      <w:r>
        <w:rPr>
          <w:rFonts w:ascii="Calibri" w:cs="Calibri" w:eastAsia="Calibri" w:hAnsi="Calibri"/>
          <w:b/>
          <w:bCs/>
          <w:color w:val="6D28D9"/>
          <w:spacing w:val="40"/>
          <w:sz w:val="30"/>
          <w:szCs w:val="30"/>
        </w:rPr>
        <w:t xml:space="preserve">LEADZEN.AI</w:t>
      </w:r>
    </w:p>
    <w:p>
      <w:pPr>
        <w:spacing w:after="100" w:before="200"/>
      </w:pPr>
      <w:r>
        <w:rPr>
          <w:rFonts w:ascii="Calibri" w:cs="Calibri" w:eastAsia="Calibri" w:hAnsi="Calibri"/>
          <w:b/>
          <w:bCs/>
          <w:color w:val="1A1625"/>
          <w:sz w:val="56"/>
          <w:szCs w:val="56"/>
        </w:rPr>
        <w:t xml:space="preserve">Global Website Copy &amp; Content Package</w:t>
      </w:r>
    </w:p>
    <w:p>
      <w:pPr>
        <w:spacing w:after="400"/>
      </w:pPr>
      <w:r>
        <w:rPr>
          <w:rFonts w:ascii="Calibri" w:cs="Calibri" w:eastAsia="Calibri" w:hAnsi="Calibri"/>
          <w:color w:val="5B5568"/>
          <w:sz w:val="22"/>
          <w:szCs w:val="22"/>
        </w:rPr>
        <w:t xml:space="preserve">Section-by-section copy for the Leadzen.ai global homepage, built for the standalone HTML layout, written from scratch for an international buyer base and backed by named third-party research.</w:t>
      </w:r>
    </w:p>
    <w:p>
      <w:pPr>
        <w:spacing w:after="60"/>
      </w:pPr>
      <w:r>
        <w:rPr>
          <w:rFonts w:ascii="Calibri" w:cs="Calibri" w:eastAsia="Calibri" w:hAnsi="Calibri"/>
          <w:b/>
          <w:bCs/>
          <w:color w:val="1A1625"/>
          <w:sz w:val="20"/>
          <w:szCs w:val="20"/>
        </w:rPr>
        <w:t xml:space="preserve">Prepared for: Leadzen.ai Founders, Technical Management, and CEO Review</w:t>
      </w:r>
    </w:p>
    <w:p>
      <w:pPr>
        <w:spacing w:after="60"/>
      </w:pPr>
      <w:r>
        <w:rPr>
          <w:rFonts w:ascii="Calibri" w:cs="Calibri" w:eastAsia="Calibri" w:hAnsi="Calibri"/>
          <w:color w:val="1A1625"/>
          <w:sz w:val="20"/>
          <w:szCs w:val="20"/>
        </w:rPr>
        <w:t xml:space="preserve">Prepared by: Degree 360 Solutions Pvt. Ltd.</w:t>
      </w:r>
    </w:p>
    <w:p>
      <w:pPr>
        <w:spacing w:after="400"/>
      </w:pPr>
      <w:r>
        <w:rPr>
          <w:rFonts w:ascii="Calibri" w:cs="Calibri" w:eastAsia="Calibri" w:hAnsi="Calibri"/>
          <w:i/>
          <w:iCs/>
          <w:color w:val="5B5568"/>
          <w:sz w:val="19"/>
          <w:szCs w:val="19"/>
        </w:rPr>
        <w:t xml:space="preserve">Version 1.0 — Draft for internal approval</w:t>
      </w:r>
    </w:p>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How to read this document: every external statistic is followed by its source in parentheses and listed again in the Sources appendix. Every Leadzen-specific number (database size, country count, customer results) is shown in a bracketed placeholder — [ LIKE THIS ] — because it must be filled with a verified internal figure before it goes live. Nothing about Leadzen's own performance is asserted here that Leadzen has not yet confirmed. This is the difference between 'confident' and 'indefensible,' and it is why this draft is built to survive a CEO and legal read-through.</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What's inside</w:t>
      </w:r>
    </w:p>
    <w:p>
      <w:pPr>
        <w:pStyle w:val="ListParagraph"/>
        <w:numPr>
          <w:ilvl w:val="0"/>
          <w:numId w:val="2"/>
        </w:numPr>
        <w:spacing w:after="100" w:line="290"/>
      </w:pPr>
      <w:r>
        <w:rPr>
          <w:rFonts w:ascii="Calibri" w:cs="Calibri" w:eastAsia="Calibri" w:hAnsi="Calibri"/>
          <w:color w:val="1A1625"/>
          <w:sz w:val="21"/>
          <w:szCs w:val="21"/>
        </w:rPr>
        <w:t xml:space="preserve">1. Why global positioning, and why now (the data case)</w:t>
      </w:r>
    </w:p>
    <w:p>
      <w:pPr>
        <w:pStyle w:val="ListParagraph"/>
        <w:numPr>
          <w:ilvl w:val="0"/>
          <w:numId w:val="2"/>
        </w:numPr>
        <w:spacing w:after="100" w:line="290"/>
      </w:pPr>
      <w:r>
        <w:rPr>
          <w:rFonts w:ascii="Calibri" w:cs="Calibri" w:eastAsia="Calibri" w:hAnsi="Calibri"/>
          <w:color w:val="1A1625"/>
          <w:sz w:val="21"/>
          <w:szCs w:val="21"/>
        </w:rPr>
        <w:t xml:space="preserve">2. Navigation &amp; mega-menus</w:t>
      </w:r>
    </w:p>
    <w:p>
      <w:pPr>
        <w:pStyle w:val="ListParagraph"/>
        <w:numPr>
          <w:ilvl w:val="0"/>
          <w:numId w:val="2"/>
        </w:numPr>
        <w:spacing w:after="100" w:line="290"/>
      </w:pPr>
      <w:r>
        <w:rPr>
          <w:rFonts w:ascii="Calibri" w:cs="Calibri" w:eastAsia="Calibri" w:hAnsi="Calibri"/>
          <w:color w:val="1A1625"/>
          <w:sz w:val="21"/>
          <w:szCs w:val="21"/>
        </w:rPr>
        <w:t xml:space="preserve">3. Hero section</w:t>
      </w:r>
    </w:p>
    <w:p>
      <w:pPr>
        <w:pStyle w:val="ListParagraph"/>
        <w:numPr>
          <w:ilvl w:val="0"/>
          <w:numId w:val="2"/>
        </w:numPr>
        <w:spacing w:after="100" w:line="290"/>
      </w:pPr>
      <w:r>
        <w:rPr>
          <w:rFonts w:ascii="Calibri" w:cs="Calibri" w:eastAsia="Calibri" w:hAnsi="Calibri"/>
          <w:color w:val="1A1625"/>
          <w:sz w:val="21"/>
          <w:szCs w:val="21"/>
        </w:rPr>
        <w:t xml:space="preserve">4. Trust bar / social proof strip</w:t>
      </w:r>
    </w:p>
    <w:p>
      <w:pPr>
        <w:pStyle w:val="ListParagraph"/>
        <w:numPr>
          <w:ilvl w:val="0"/>
          <w:numId w:val="2"/>
        </w:numPr>
        <w:spacing w:after="100" w:line="290"/>
      </w:pPr>
      <w:r>
        <w:rPr>
          <w:rFonts w:ascii="Calibri" w:cs="Calibri" w:eastAsia="Calibri" w:hAnsi="Calibri"/>
          <w:color w:val="1A1625"/>
          <w:sz w:val="21"/>
          <w:szCs w:val="21"/>
        </w:rPr>
        <w:t xml:space="preserve">5. Problem section — the four costs of manual, single-region selling</w:t>
      </w:r>
    </w:p>
    <w:p>
      <w:pPr>
        <w:pStyle w:val="ListParagraph"/>
        <w:numPr>
          <w:ilvl w:val="0"/>
          <w:numId w:val="2"/>
        </w:numPr>
        <w:spacing w:after="100" w:line="290"/>
      </w:pPr>
      <w:r>
        <w:rPr>
          <w:rFonts w:ascii="Calibri" w:cs="Calibri" w:eastAsia="Calibri" w:hAnsi="Calibri"/>
          <w:color w:val="1A1625"/>
          <w:sz w:val="21"/>
          <w:szCs w:val="21"/>
        </w:rPr>
        <w:t xml:space="preserve">6. Platform tour — Find, Enrich, Engage, Analyze</w:t>
      </w:r>
    </w:p>
    <w:p>
      <w:pPr>
        <w:pStyle w:val="ListParagraph"/>
        <w:numPr>
          <w:ilvl w:val="0"/>
          <w:numId w:val="2"/>
        </w:numPr>
        <w:spacing w:after="100" w:line="290"/>
      </w:pPr>
      <w:r>
        <w:rPr>
          <w:rFonts w:ascii="Calibri" w:cs="Calibri" w:eastAsia="Calibri" w:hAnsi="Calibri"/>
          <w:color w:val="1A1625"/>
          <w:sz w:val="21"/>
          <w:szCs w:val="21"/>
        </w:rPr>
        <w:t xml:space="preserve">7. Pipeline section — from sourced to closed-won</w:t>
      </w:r>
    </w:p>
    <w:p>
      <w:pPr>
        <w:pStyle w:val="ListParagraph"/>
        <w:numPr>
          <w:ilvl w:val="0"/>
          <w:numId w:val="2"/>
        </w:numPr>
        <w:spacing w:after="100" w:line="290"/>
      </w:pPr>
      <w:r>
        <w:rPr>
          <w:rFonts w:ascii="Calibri" w:cs="Calibri" w:eastAsia="Calibri" w:hAnsi="Calibri"/>
          <w:color w:val="1A1625"/>
          <w:sz w:val="21"/>
          <w:szCs w:val="21"/>
        </w:rPr>
        <w:t xml:space="preserve">8. AI agents — ZEN, LENZ, and LENZ PRO</w:t>
      </w:r>
    </w:p>
    <w:p>
      <w:pPr>
        <w:pStyle w:val="ListParagraph"/>
        <w:numPr>
          <w:ilvl w:val="0"/>
          <w:numId w:val="2"/>
        </w:numPr>
        <w:spacing w:after="100" w:line="290"/>
      </w:pPr>
      <w:r>
        <w:rPr>
          <w:rFonts w:ascii="Calibri" w:cs="Calibri" w:eastAsia="Calibri" w:hAnsi="Calibri"/>
          <w:color w:val="1A1625"/>
          <w:sz w:val="21"/>
          <w:szCs w:val="21"/>
        </w:rPr>
        <w:t xml:space="preserve">9. Compare section — Leadzen vs. the stitched-together stack</w:t>
      </w:r>
    </w:p>
    <w:p>
      <w:pPr>
        <w:pStyle w:val="ListParagraph"/>
        <w:numPr>
          <w:ilvl w:val="0"/>
          <w:numId w:val="2"/>
        </w:numPr>
        <w:spacing w:after="100" w:line="290"/>
      </w:pPr>
      <w:r>
        <w:rPr>
          <w:rFonts w:ascii="Calibri" w:cs="Calibri" w:eastAsia="Calibri" w:hAnsi="Calibri"/>
          <w:color w:val="1A1625"/>
          <w:sz w:val="21"/>
          <w:szCs w:val="21"/>
        </w:rPr>
        <w:t xml:space="preserve">10. Global results &amp; stats section</w:t>
      </w:r>
    </w:p>
    <w:p>
      <w:pPr>
        <w:pStyle w:val="ListParagraph"/>
        <w:numPr>
          <w:ilvl w:val="0"/>
          <w:numId w:val="2"/>
        </w:numPr>
        <w:spacing w:after="100" w:line="290"/>
      </w:pPr>
      <w:r>
        <w:rPr>
          <w:rFonts w:ascii="Calibri" w:cs="Calibri" w:eastAsia="Calibri" w:hAnsi="Calibri"/>
          <w:color w:val="1A1625"/>
          <w:sz w:val="21"/>
          <w:szCs w:val="21"/>
        </w:rPr>
        <w:t xml:space="preserve">11. Testimonials — placeholder framework (not yet real quotes)</w:t>
      </w:r>
    </w:p>
    <w:p>
      <w:pPr>
        <w:pStyle w:val="ListParagraph"/>
        <w:numPr>
          <w:ilvl w:val="0"/>
          <w:numId w:val="2"/>
        </w:numPr>
        <w:spacing w:after="100" w:line="290"/>
      </w:pPr>
      <w:r>
        <w:rPr>
          <w:rFonts w:ascii="Calibri" w:cs="Calibri" w:eastAsia="Calibri" w:hAnsi="Calibri"/>
          <w:color w:val="1A1625"/>
          <w:sz w:val="21"/>
          <w:szCs w:val="21"/>
        </w:rPr>
        <w:t xml:space="preserve">12. Pricing &amp; final CTA</w:t>
      </w:r>
    </w:p>
    <w:p>
      <w:pPr>
        <w:pStyle w:val="ListParagraph"/>
        <w:numPr>
          <w:ilvl w:val="0"/>
          <w:numId w:val="2"/>
        </w:numPr>
        <w:spacing w:after="100" w:line="290"/>
      </w:pPr>
      <w:r>
        <w:rPr>
          <w:rFonts w:ascii="Calibri" w:cs="Calibri" w:eastAsia="Calibri" w:hAnsi="Calibri"/>
          <w:color w:val="1A1625"/>
          <w:sz w:val="21"/>
          <w:szCs w:val="21"/>
        </w:rPr>
        <w:t xml:space="preserve">13. Footer</w:t>
      </w:r>
    </w:p>
    <w:p>
      <w:pPr>
        <w:pStyle w:val="ListParagraph"/>
        <w:numPr>
          <w:ilvl w:val="0"/>
          <w:numId w:val="2"/>
        </w:numPr>
        <w:spacing w:after="100" w:line="290"/>
      </w:pPr>
      <w:r>
        <w:rPr>
          <w:rFonts w:ascii="Calibri" w:cs="Calibri" w:eastAsia="Calibri" w:hAnsi="Calibri"/>
          <w:color w:val="1A1625"/>
          <w:sz w:val="21"/>
          <w:szCs w:val="21"/>
        </w:rPr>
        <w:t xml:space="preserve">14. Technical &amp; localization notes for engineering</w:t>
      </w:r>
    </w:p>
    <w:p>
      <w:pPr>
        <w:pStyle w:val="ListParagraph"/>
        <w:numPr>
          <w:ilvl w:val="0"/>
          <w:numId w:val="2"/>
        </w:numPr>
        <w:spacing w:after="100" w:line="290"/>
      </w:pPr>
      <w:r>
        <w:rPr>
          <w:rFonts w:ascii="Calibri" w:cs="Calibri" w:eastAsia="Calibri" w:hAnsi="Calibri"/>
          <w:color w:val="1A1625"/>
          <w:sz w:val="21"/>
          <w:szCs w:val="21"/>
        </w:rPr>
        <w:t xml:space="preserve">15. Sources</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1. Why global positioning, and why now</w:t>
      </w:r>
    </w:p>
    <w:p>
      <w:pPr>
        <w:spacing w:after="160" w:line="300"/>
      </w:pPr>
      <w:r>
        <w:rPr>
          <w:rFonts w:ascii="Calibri" w:cs="Calibri" w:eastAsia="Calibri" w:hAnsi="Calibri"/>
          <w:i w:val="false"/>
          <w:iCs w:val="false"/>
          <w:color w:val="1A1625"/>
          <w:sz w:val="21"/>
          <w:szCs w:val="21"/>
        </w:rPr>
        <w:t xml:space="preserve">Leadzen.ai is not competing for a regional budget line. It is competing inside a global B2B commerce economy that Trade.gov and Statista place at roughly $36 trillion in 2026, expanding at a 14.5% CAGR toward $41.4 trillion in 2027. The sales intelligence category that Leadzen sits inside is itself sized at roughly $5.0 to $5.4 billion in 2026 by converging analyst estimates (Fortune Business Insights, Mordor Intelligence, Precedence Research, GlobalGrowthInsights), on a path to $9 to $12 billion-plus by the early 2030s at 11 to 13% CAGR. A homepage that reads as "built for one country's sales teams" is leaving most of that market on the table before a single demo is booked.</w:t>
      </w:r>
    </w:p>
    <w:p>
      <w:pPr>
        <w:spacing w:after="40"/>
      </w:pPr>
      <w:r>
        <w:rPr>
          <w:rFonts w:ascii="Calibri" w:cs="Calibri" w:eastAsia="Calibri" w:hAnsi="Calibri"/>
          <w:b/>
          <w:bCs/>
          <w:color w:val="6D28D9"/>
          <w:sz w:val="30"/>
          <w:szCs w:val="30"/>
        </w:rPr>
        <w:t xml:space="preserve">$36T  </w:t>
      </w:r>
      <w:r>
        <w:rPr>
          <w:rFonts w:ascii="Calibri" w:cs="Calibri" w:eastAsia="Calibri" w:hAnsi="Calibri"/>
          <w:color w:val="5B5568"/>
          <w:sz w:val="18"/>
          <w:szCs w:val="18"/>
        </w:rPr>
        <w:t xml:space="preserve">Projected global B2B eCommerce market size, 2026 (Trade.gov / International Trade Administration)</w:t>
      </w:r>
    </w:p>
    <w:p>
      <w:pPr>
        <w:spacing w:after="40"/>
      </w:pPr>
      <w:r>
        <w:rPr>
          <w:rFonts w:ascii="Calibri" w:cs="Calibri" w:eastAsia="Calibri" w:hAnsi="Calibri"/>
          <w:b/>
          <w:bCs/>
          <w:color w:val="6D28D9"/>
          <w:sz w:val="30"/>
          <w:szCs w:val="30"/>
        </w:rPr>
        <w:t xml:space="preserve">$5.0–5.4B  </w:t>
      </w:r>
      <w:r>
        <w:rPr>
          <w:rFonts w:ascii="Calibri" w:cs="Calibri" w:eastAsia="Calibri" w:hAnsi="Calibri"/>
          <w:color w:val="5B5568"/>
          <w:sz w:val="18"/>
          <w:szCs w:val="18"/>
        </w:rPr>
        <w:t xml:space="preserve">Global sales intelligence market size, 2026 (Fortune Business Insights, Mordor Intelligence)</w:t>
      </w:r>
    </w:p>
    <w:p>
      <w:pPr>
        <w:spacing w:after="40"/>
      </w:pPr>
      <w:r>
        <w:rPr>
          <w:rFonts w:ascii="Calibri" w:cs="Calibri" w:eastAsia="Calibri" w:hAnsi="Calibri"/>
          <w:b/>
          <w:bCs/>
          <w:color w:val="6D28D9"/>
          <w:sz w:val="30"/>
          <w:szCs w:val="30"/>
        </w:rPr>
        <w:t xml:space="preserve">11–13%  </w:t>
      </w:r>
      <w:r>
        <w:rPr>
          <w:rFonts w:ascii="Calibri" w:cs="Calibri" w:eastAsia="Calibri" w:hAnsi="Calibri"/>
          <w:color w:val="5B5568"/>
          <w:sz w:val="18"/>
          <w:szCs w:val="18"/>
        </w:rPr>
        <w:t xml:space="preserve">CAGR for the sales intelligence category through the early 2030s (multiple analyst sources)</w:t>
      </w:r>
    </w:p>
    <w:p>
      <w:pPr>
        <w:spacing w:after="160" w:line="300"/>
      </w:pPr>
      <w:r>
        <w:rPr>
          <w:rFonts w:ascii="Calibri" w:cs="Calibri" w:eastAsia="Calibri" w:hAnsi="Calibri"/>
          <w:i w:val="false"/>
          <w:iCs w:val="false"/>
          <w:color w:val="1A1625"/>
          <w:sz w:val="21"/>
          <w:szCs w:val="21"/>
        </w:rPr>
        <w:t xml:space="preserve">Three shifts make the global argument concrete rather than aspirational:</w:t>
      </w:r>
    </w:p>
    <w:p>
      <w:pPr>
        <w:pStyle w:val="ListParagraph"/>
        <w:numPr>
          <w:ilvl w:val="0"/>
          <w:numId w:val="2"/>
        </w:numPr>
        <w:spacing w:after="100" w:line="290"/>
      </w:pPr>
      <w:r>
        <w:rPr>
          <w:rFonts w:ascii="Calibri" w:cs="Calibri" w:eastAsia="Calibri" w:hAnsi="Calibri"/>
          <w:color w:val="1A1625"/>
          <w:sz w:val="21"/>
          <w:szCs w:val="21"/>
        </w:rPr>
        <w:t xml:space="preserve">Buying committees have gotten bigger, not smaller. Forrester's 2025 State of Business Buying survey puts the average B2B purchase at 13 internal stakeholders and 9 external participants — a figure that roughly doubles again for purchases that include AI features. A tool built to find "a contact" is no longer built for the deal that's actually in front of a rep.</w:t>
      </w:r>
    </w:p>
    <w:p>
      <w:pPr>
        <w:pStyle w:val="ListParagraph"/>
        <w:numPr>
          <w:ilvl w:val="0"/>
          <w:numId w:val="2"/>
        </w:numPr>
        <w:spacing w:after="100" w:line="290"/>
      </w:pPr>
      <w:r>
        <w:rPr>
          <w:rFonts w:ascii="Calibri" w:cs="Calibri" w:eastAsia="Calibri" w:hAnsi="Calibri"/>
          <w:color w:val="1A1625"/>
          <w:sz w:val="21"/>
          <w:szCs w:val="21"/>
        </w:rPr>
        <w:t xml:space="preserve">Regions no longer buy on separate timelines. APAC is the fastest-growing region for sales intelligence adoption, at roughly 14 to 15% CAGR, ahead of North America's mature 35 to 42% share and Europe's 27%, per GlobalGrowthInsights and Prospeo's 2026 market synthesis. A go-to-market team that only optimizes for North America is optimizing for the slowest-growing part of its own addressable market.</w:t>
      </w:r>
    </w:p>
    <w:p>
      <w:pPr>
        <w:pStyle w:val="ListParagraph"/>
        <w:numPr>
          <w:ilvl w:val="0"/>
          <w:numId w:val="2"/>
        </w:numPr>
        <w:spacing w:after="100" w:line="290"/>
      </w:pPr>
      <w:r>
        <w:rPr>
          <w:rFonts w:ascii="Calibri" w:cs="Calibri" w:eastAsia="Calibri" w:hAnsi="Calibri"/>
          <w:color w:val="1A1625"/>
          <w:sz w:val="21"/>
          <w:szCs w:val="21"/>
        </w:rPr>
        <w:t xml:space="preserve">The buyer's research is already global and AI-assisted. 94% of B2B buyers used an LLM during their most recent purchase process, and GenAI chatbots are now the single most cited source shaping vendor shortlists, ahead of vendor websites and peer recommendations (G2, 2025 Buyer Behavior Report). Leadzen's own site has to be structured so that AI answer engines and human buyers in every target region can find, understand, and trust it.</w:t>
      </w:r>
    </w:p>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Framing note for CEO review: every claim above is attributed to a named third-party research house, not asserted as Leadzen's own data. This is intentional. It lets Leadzen make an aggressive, well-supported case for global ambition without staking the company's credibility on a number the team hasn't verified internally.</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2. Navigation &amp; mega-menus</w:t>
      </w:r>
    </w:p>
    <w:p>
      <w:pPr>
        <w:spacing w:after="160" w:line="300"/>
      </w:pPr>
      <w:r>
        <w:rPr>
          <w:rFonts w:ascii="Calibri" w:cs="Calibri" w:eastAsia="Calibri" w:hAnsi="Calibri"/>
          <w:i w:val="false"/>
          <w:iCs w:val="false"/>
          <w:color w:val="1A1625"/>
          <w:sz w:val="21"/>
          <w:szCs w:val="21"/>
        </w:rPr>
        <w:t xml:space="preserve">Primary navigation, left to right:</w:t>
      </w:r>
    </w:p>
    <w:p>
      <w:pPr>
        <w:pStyle w:val="ListParagraph"/>
        <w:numPr>
          <w:ilvl w:val="0"/>
          <w:numId w:val="2"/>
        </w:numPr>
        <w:spacing w:after="100" w:line="290"/>
      </w:pPr>
      <w:r>
        <w:rPr>
          <w:rFonts w:ascii="Calibri" w:cs="Calibri" w:eastAsia="Calibri" w:hAnsi="Calibri"/>
          <w:color w:val="1A1625"/>
          <w:sz w:val="21"/>
          <w:szCs w:val="21"/>
        </w:rPr>
        <w:t xml:space="preserve">Platform</w:t>
      </w:r>
    </w:p>
    <w:p>
      <w:pPr>
        <w:pStyle w:val="ListParagraph"/>
        <w:numPr>
          <w:ilvl w:val="0"/>
          <w:numId w:val="2"/>
        </w:numPr>
        <w:spacing w:after="100" w:line="290"/>
      </w:pPr>
      <w:r>
        <w:rPr>
          <w:rFonts w:ascii="Calibri" w:cs="Calibri" w:eastAsia="Calibri" w:hAnsi="Calibri"/>
          <w:color w:val="1A1625"/>
          <w:sz w:val="21"/>
          <w:szCs w:val="21"/>
        </w:rPr>
        <w:t xml:space="preserve">Solutions</w:t>
      </w:r>
    </w:p>
    <w:p>
      <w:pPr>
        <w:pStyle w:val="ListParagraph"/>
        <w:numPr>
          <w:ilvl w:val="0"/>
          <w:numId w:val="2"/>
        </w:numPr>
        <w:spacing w:after="100" w:line="290"/>
      </w:pPr>
      <w:r>
        <w:rPr>
          <w:rFonts w:ascii="Calibri" w:cs="Calibri" w:eastAsia="Calibri" w:hAnsi="Calibri"/>
          <w:color w:val="1A1625"/>
          <w:sz w:val="21"/>
          <w:szCs w:val="21"/>
        </w:rPr>
        <w:t xml:space="preserve">Agents</w:t>
      </w:r>
    </w:p>
    <w:p>
      <w:pPr>
        <w:pStyle w:val="ListParagraph"/>
        <w:numPr>
          <w:ilvl w:val="0"/>
          <w:numId w:val="2"/>
        </w:numPr>
        <w:spacing w:after="100" w:line="290"/>
      </w:pPr>
      <w:r>
        <w:rPr>
          <w:rFonts w:ascii="Calibri" w:cs="Calibri" w:eastAsia="Calibri" w:hAnsi="Calibri"/>
          <w:color w:val="1A1625"/>
          <w:sz w:val="21"/>
          <w:szCs w:val="21"/>
        </w:rPr>
        <w:t xml:space="preserve">Resources</w:t>
      </w:r>
    </w:p>
    <w:p>
      <w:pPr>
        <w:pStyle w:val="ListParagraph"/>
        <w:numPr>
          <w:ilvl w:val="0"/>
          <w:numId w:val="2"/>
        </w:numPr>
        <w:spacing w:after="100" w:line="290"/>
      </w:pPr>
      <w:r>
        <w:rPr>
          <w:rFonts w:ascii="Calibri" w:cs="Calibri" w:eastAsia="Calibri" w:hAnsi="Calibri"/>
          <w:color w:val="1A1625"/>
          <w:sz w:val="21"/>
          <w:szCs w:val="21"/>
        </w:rPr>
        <w:t xml:space="preserve">Pricing</w:t>
      </w:r>
    </w:p>
    <w:p>
      <w:pPr>
        <w:spacing w:after="160" w:line="300"/>
      </w:pPr>
      <w:r>
        <w:rPr>
          <w:rFonts w:ascii="Calibri" w:cs="Calibri" w:eastAsia="Calibri" w:hAnsi="Calibri"/>
          <w:i w:val="false"/>
          <w:iCs w:val="false"/>
          <w:color w:val="1A1625"/>
          <w:sz w:val="21"/>
          <w:szCs w:val="21"/>
        </w:rPr>
        <w:t xml:space="preserve">Right side: Log in · Book a demo (primary CTA button) — links to leadzen.ai/signup and leadzen.ai/pricing only, per brand URL policy.</w:t>
      </w:r>
    </w:p>
    <w:p>
      <w:pPr>
        <w:pStyle w:val="Heading2"/>
        <w:spacing w:after="140" w:before="360"/>
      </w:pPr>
      <w:r>
        <w:rPr>
          <w:rFonts w:ascii="Calibri" w:cs="Calibri" w:eastAsia="Calibri" w:hAnsi="Calibri"/>
          <w:b/>
          <w:bCs/>
          <w:color w:val="1A1625"/>
          <w:sz w:val="26"/>
          <w:szCs w:val="26"/>
        </w:rPr>
        <w:t xml:space="preserve">Mega-menu: Platform</w:t>
      </w:r>
    </w:p>
    <w:p>
      <w:pPr>
        <w:spacing w:after="160" w:line="300"/>
      </w:pPr>
      <w:r>
        <w:rPr>
          <w:rFonts w:ascii="Calibri" w:cs="Calibri" w:eastAsia="Calibri" w:hAnsi="Calibri"/>
          <w:i w:val="false"/>
          <w:iCs w:val="false"/>
          <w:color w:val="1A1625"/>
          <w:sz w:val="21"/>
          <w:szCs w:val="21"/>
        </w:rPr>
        <w:t xml:space="preserve">Four capability columns, each with a one-line descriptor and a link into the product tour:</w:t>
      </w:r>
    </w:p>
    <w:p>
      <w:pPr>
        <w:pStyle w:val="ListParagraph"/>
        <w:numPr>
          <w:ilvl w:val="0"/>
          <w:numId w:val="2"/>
        </w:numPr>
        <w:spacing w:after="100" w:line="290"/>
      </w:pPr>
      <w:r>
        <w:rPr>
          <w:rFonts w:ascii="Calibri" w:cs="Calibri" w:eastAsia="Calibri" w:hAnsi="Calibri"/>
          <w:color w:val="1A1625"/>
          <w:sz w:val="21"/>
          <w:szCs w:val="21"/>
        </w:rPr>
        <w:t xml:space="preserve">Find — Search and filter global companies and contacts by industry, headcount, funding stage, technology stack, and buying-intent signal.</w:t>
      </w:r>
    </w:p>
    <w:p>
      <w:pPr>
        <w:pStyle w:val="ListParagraph"/>
        <w:numPr>
          <w:ilvl w:val="0"/>
          <w:numId w:val="2"/>
        </w:numPr>
        <w:spacing w:after="100" w:line="290"/>
      </w:pPr>
      <w:r>
        <w:rPr>
          <w:rFonts w:ascii="Calibri" w:cs="Calibri" w:eastAsia="Calibri" w:hAnsi="Calibri"/>
          <w:color w:val="1A1625"/>
          <w:sz w:val="21"/>
          <w:szCs w:val="21"/>
        </w:rPr>
        <w:t xml:space="preserve">Enrich — Turn a name and a company into a verified email, a direct number, and the firmographic context a rep needs before the first call.</w:t>
      </w:r>
    </w:p>
    <w:p>
      <w:pPr>
        <w:pStyle w:val="ListParagraph"/>
        <w:numPr>
          <w:ilvl w:val="0"/>
          <w:numId w:val="2"/>
        </w:numPr>
        <w:spacing w:after="100" w:line="290"/>
      </w:pPr>
      <w:r>
        <w:rPr>
          <w:rFonts w:ascii="Calibri" w:cs="Calibri" w:eastAsia="Calibri" w:hAnsi="Calibri"/>
          <w:color w:val="1A1625"/>
          <w:sz w:val="21"/>
          <w:szCs w:val="21"/>
        </w:rPr>
        <w:t xml:space="preserve">Engage — Run multi-channel, timezone-aware outreach sequences across email, LinkedIn, and WhatsApp from one queue.</w:t>
      </w:r>
    </w:p>
    <w:p>
      <w:pPr>
        <w:pStyle w:val="ListParagraph"/>
        <w:numPr>
          <w:ilvl w:val="0"/>
          <w:numId w:val="2"/>
        </w:numPr>
        <w:spacing w:after="100" w:line="290"/>
      </w:pPr>
      <w:r>
        <w:rPr>
          <w:rFonts w:ascii="Calibri" w:cs="Calibri" w:eastAsia="Calibri" w:hAnsi="Calibri"/>
          <w:color w:val="1A1625"/>
          <w:sz w:val="21"/>
          <w:szCs w:val="21"/>
        </w:rPr>
        <w:t xml:space="preserve">Analyze — Track pipeline by stage, region, and rep, and see where deals are stalling before the forecast call, not during it.</w:t>
      </w:r>
    </w:p>
    <w:p>
      <w:pPr>
        <w:pStyle w:val="Heading2"/>
        <w:spacing w:after="140" w:before="360"/>
      </w:pPr>
      <w:r>
        <w:rPr>
          <w:rFonts w:ascii="Calibri" w:cs="Calibri" w:eastAsia="Calibri" w:hAnsi="Calibri"/>
          <w:b/>
          <w:bCs/>
          <w:color w:val="1A1625"/>
          <w:sz w:val="26"/>
          <w:szCs w:val="26"/>
        </w:rPr>
        <w:t xml:space="preserve">Mega-menu: Agents</w:t>
      </w:r>
    </w:p>
    <w:p>
      <w:pPr>
        <w:pStyle w:val="ListParagraph"/>
        <w:numPr>
          <w:ilvl w:val="0"/>
          <w:numId w:val="2"/>
        </w:numPr>
        <w:spacing w:after="100" w:line="290"/>
      </w:pPr>
      <w:r>
        <w:rPr>
          <w:rFonts w:ascii="Calibri" w:cs="Calibri" w:eastAsia="Calibri" w:hAnsi="Calibri"/>
          <w:color w:val="1A1625"/>
          <w:sz w:val="21"/>
          <w:szCs w:val="21"/>
        </w:rPr>
        <w:t xml:space="preserve">ZEN — the guided-prospecting assistant. Onboards a rep, asks what "good" looks like for their territory, and builds the first search.</w:t>
      </w:r>
    </w:p>
    <w:p>
      <w:pPr>
        <w:pStyle w:val="ListParagraph"/>
        <w:numPr>
          <w:ilvl w:val="0"/>
          <w:numId w:val="2"/>
        </w:numPr>
        <w:spacing w:after="100" w:line="290"/>
      </w:pPr>
      <w:r>
        <w:rPr>
          <w:rFonts w:ascii="Calibri" w:cs="Calibri" w:eastAsia="Calibri" w:hAnsi="Calibri"/>
          <w:color w:val="1A1625"/>
          <w:sz w:val="21"/>
          <w:szCs w:val="21"/>
        </w:rPr>
        <w:t xml:space="preserve">LENZ — the core research and enrichment agent. Runs continuous account and contact enrichment in the background so lists don't go stale between campaigns.</w:t>
      </w:r>
    </w:p>
    <w:p>
      <w:pPr>
        <w:pStyle w:val="ListParagraph"/>
        <w:numPr>
          <w:ilvl w:val="0"/>
          <w:numId w:val="2"/>
        </w:numPr>
        <w:spacing w:after="100" w:line="290"/>
      </w:pPr>
      <w:r>
        <w:rPr>
          <w:rFonts w:ascii="Calibri" w:cs="Calibri" w:eastAsia="Calibri" w:hAnsi="Calibri"/>
          <w:color w:val="1A1625"/>
          <w:sz w:val="21"/>
          <w:szCs w:val="21"/>
        </w:rPr>
        <w:t xml:space="preserve">LENZ PRO — the outbound orchestration agent. Sequences multi-threaded outreach across a full buying committee and adjusts cadence based on engagement signal.</w:t>
      </w:r>
    </w:p>
    <w:p>
      <w:pPr>
        <w:pStyle w:val="Heading2"/>
        <w:spacing w:after="140" w:before="360"/>
      </w:pPr>
      <w:r>
        <w:rPr>
          <w:rFonts w:ascii="Calibri" w:cs="Calibri" w:eastAsia="Calibri" w:hAnsi="Calibri"/>
          <w:b/>
          <w:bCs/>
          <w:color w:val="1A1625"/>
          <w:sz w:val="26"/>
          <w:szCs w:val="26"/>
        </w:rPr>
        <w:t xml:space="preserve">Mega-menu: Solutions by region</w:t>
      </w:r>
    </w:p>
    <w:p>
      <w:pPr>
        <w:spacing w:after="160" w:line="300"/>
      </w:pPr>
      <w:r>
        <w:rPr>
          <w:rFonts w:ascii="Calibri" w:cs="Calibri" w:eastAsia="Calibri" w:hAnsi="Calibri"/>
          <w:i w:val="false"/>
          <w:iCs w:val="false"/>
          <w:color w:val="1A1625"/>
          <w:sz w:val="21"/>
          <w:szCs w:val="21"/>
        </w:rPr>
        <w:t xml:space="preserve">A region selector, not an afterthought footer link. Each entry opens a short page that speaks to local buying norms and data rules rather than a translated copy of the US page:</w:t>
      </w:r>
    </w:p>
    <w:p>
      <w:pPr>
        <w:pStyle w:val="ListParagraph"/>
        <w:numPr>
          <w:ilvl w:val="0"/>
          <w:numId w:val="2"/>
        </w:numPr>
        <w:spacing w:after="100" w:line="290"/>
      </w:pPr>
      <w:r>
        <w:rPr>
          <w:rFonts w:ascii="Calibri" w:cs="Calibri" w:eastAsia="Calibri" w:hAnsi="Calibri"/>
          <w:color w:val="1A1625"/>
          <w:sz w:val="21"/>
          <w:szCs w:val="21"/>
        </w:rPr>
        <w:t xml:space="preserve">Americas — US, Canada, Latin America. CCPA-aware data handling; time-zone-native sequence scheduling across nine time zones.</w:t>
      </w:r>
    </w:p>
    <w:p>
      <w:pPr>
        <w:pStyle w:val="ListParagraph"/>
        <w:numPr>
          <w:ilvl w:val="0"/>
          <w:numId w:val="2"/>
        </w:numPr>
        <w:spacing w:after="100" w:line="290"/>
      </w:pPr>
      <w:r>
        <w:rPr>
          <w:rFonts w:ascii="Calibri" w:cs="Calibri" w:eastAsia="Calibri" w:hAnsi="Calibri"/>
          <w:color w:val="1A1625"/>
          <w:sz w:val="21"/>
          <w:szCs w:val="21"/>
        </w:rPr>
        <w:t xml:space="preserve">Europe, Middle East &amp; Africa — GDPR-aligned data collection and processing; POPIA (South Africa) awareness for Sub-Saharan African accounts.</w:t>
      </w:r>
    </w:p>
    <w:p>
      <w:pPr>
        <w:pStyle w:val="ListParagraph"/>
        <w:numPr>
          <w:ilvl w:val="0"/>
          <w:numId w:val="2"/>
        </w:numPr>
        <w:spacing w:after="100" w:line="290"/>
      </w:pPr>
      <w:r>
        <w:rPr>
          <w:rFonts w:ascii="Calibri" w:cs="Calibri" w:eastAsia="Calibri" w:hAnsi="Calibri"/>
          <w:color w:val="1A1625"/>
          <w:sz w:val="21"/>
          <w:szCs w:val="21"/>
        </w:rPr>
        <w:t xml:space="preserve">Asia-Pacific — India's DPDP Act and Singapore/Malaysia's PDPA reflected in data handling; WhatsApp Business as a first-class engagement channel alongside email.</w:t>
      </w:r>
    </w:p>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Placement note: [ confirm with legal which of the above jurisdictional claims Leadzen can state on the public site today, versus which are "on our 2026 roadmap." Do not publish a compliance claim the legal or security team has not signed off on. ]</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3. Hero section</w:t>
      </w:r>
    </w:p>
    <w:p>
      <w:pPr>
        <w:spacing w:after="40" w:before="60"/>
      </w:pPr>
      <w:r>
        <w:rPr>
          <w:rFonts w:ascii="Calibri" w:cs="Calibri" w:eastAsia="Calibri" w:hAnsi="Calibri"/>
          <w:b/>
          <w:bCs/>
          <w:color w:val="5B5568"/>
          <w:spacing w:val="20"/>
          <w:sz w:val="16"/>
          <w:szCs w:val="16"/>
        </w:rPr>
        <w:t xml:space="preserve">EYEBROW</w:t>
      </w:r>
    </w:p>
    <w:p>
      <w:pPr>
        <w:spacing w:after="160" w:line="300"/>
      </w:pPr>
      <w:r>
        <w:rPr>
          <w:rFonts w:ascii="Calibri" w:cs="Calibri" w:eastAsia="Calibri" w:hAnsi="Calibri"/>
          <w:i w:val="false"/>
          <w:iCs w:val="false"/>
          <w:color w:val="1A1625"/>
          <w:sz w:val="21"/>
          <w:szCs w:val="21"/>
        </w:rPr>
        <w:t xml:space="preserve">AI Sales Intelligence for Global Revenue Teams</w:t>
      </w:r>
    </w:p>
    <w:p>
      <w:pPr>
        <w:spacing w:after="40" w:before="60"/>
      </w:pPr>
      <w:r>
        <w:rPr>
          <w:rFonts w:ascii="Calibri" w:cs="Calibri" w:eastAsia="Calibri" w:hAnsi="Calibri"/>
          <w:b/>
          <w:bCs/>
          <w:color w:val="5B5568"/>
          <w:spacing w:val="20"/>
          <w:sz w:val="16"/>
          <w:szCs w:val="16"/>
        </w:rPr>
        <w:t xml:space="preserve">HEADLINE (H1)</w:t>
      </w:r>
    </w:p>
    <w:p>
      <w:pPr>
        <w:spacing w:after="160"/>
      </w:pPr>
      <w:r>
        <w:rPr>
          <w:rFonts w:ascii="Calibri" w:cs="Calibri" w:eastAsia="Calibri" w:hAnsi="Calibri"/>
          <w:b/>
          <w:bCs/>
          <w:color w:val="1A1625"/>
          <w:sz w:val="30"/>
          <w:szCs w:val="30"/>
        </w:rPr>
        <w:t xml:space="preserve">Find the buyer who says yes — in any market, any language, any time zone.</w:t>
      </w:r>
    </w:p>
    <w:p>
      <w:pPr>
        <w:spacing w:after="40" w:before="60"/>
      </w:pPr>
      <w:r>
        <w:rPr>
          <w:rFonts w:ascii="Calibri" w:cs="Calibri" w:eastAsia="Calibri" w:hAnsi="Calibri"/>
          <w:b/>
          <w:bCs/>
          <w:color w:val="5B5568"/>
          <w:spacing w:val="20"/>
          <w:sz w:val="16"/>
          <w:szCs w:val="16"/>
        </w:rPr>
        <w:t xml:space="preserve">ALTERNATE HEADLINE, IF THE TEAM WANTS A SHORTER OPTION</w:t>
      </w:r>
    </w:p>
    <w:p>
      <w:pPr>
        <w:spacing w:after="160"/>
      </w:pPr>
      <w:r>
        <w:rPr>
          <w:rFonts w:ascii="Calibri" w:cs="Calibri" w:eastAsia="Calibri" w:hAnsi="Calibri"/>
          <w:b/>
          <w:bCs/>
          <w:color w:val="1A1625"/>
          <w:sz w:val="30"/>
          <w:szCs w:val="30"/>
        </w:rPr>
        <w:t xml:space="preserve">One platform. Every market you sell into.</w:t>
      </w:r>
    </w:p>
    <w:p>
      <w:pPr>
        <w:spacing w:after="40" w:before="60"/>
      </w:pPr>
      <w:r>
        <w:rPr>
          <w:rFonts w:ascii="Calibri" w:cs="Calibri" w:eastAsia="Calibri" w:hAnsi="Calibri"/>
          <w:b/>
          <w:bCs/>
          <w:color w:val="5B5568"/>
          <w:spacing w:val="20"/>
          <w:sz w:val="16"/>
          <w:szCs w:val="16"/>
        </w:rPr>
        <w:t xml:space="preserve">SUBHEADLINE</w:t>
      </w:r>
    </w:p>
    <w:p>
      <w:pPr>
        <w:spacing w:after="160" w:line="300"/>
      </w:pPr>
      <w:r>
        <w:rPr>
          <w:rFonts w:ascii="Calibri" w:cs="Calibri" w:eastAsia="Calibri" w:hAnsi="Calibri"/>
          <w:i w:val="false"/>
          <w:iCs w:val="false"/>
          <w:color w:val="1A1625"/>
          <w:sz w:val="21"/>
          <w:szCs w:val="21"/>
        </w:rPr>
        <w:t xml:space="preserve">Leadzen.ai finds verified decision-makers, tracks buying intent, and runs multi-threaded outreach across the 13-plus stakeholders in a modern B2B deal — built for teams selling across borders, not just across a CRM.</w:t>
      </w:r>
    </w:p>
    <w:p>
      <w:pPr>
        <w:spacing w:after="40" w:before="60"/>
      </w:pPr>
      <w:r>
        <w:rPr>
          <w:rFonts w:ascii="Calibri" w:cs="Calibri" w:eastAsia="Calibri" w:hAnsi="Calibri"/>
          <w:b/>
          <w:bCs/>
          <w:color w:val="5B5568"/>
          <w:spacing w:val="20"/>
          <w:sz w:val="16"/>
          <w:szCs w:val="16"/>
        </w:rPr>
        <w:t xml:space="preserve">PRIMARY CTA / SECONDARY CTA</w:t>
      </w:r>
    </w:p>
    <w:p>
      <w:pPr>
        <w:pStyle w:val="ListParagraph"/>
        <w:numPr>
          <w:ilvl w:val="0"/>
          <w:numId w:val="2"/>
        </w:numPr>
        <w:spacing w:after="100" w:line="290"/>
      </w:pPr>
      <w:r>
        <w:rPr>
          <w:rFonts w:ascii="Calibri" w:cs="Calibri" w:eastAsia="Calibri" w:hAnsi="Calibri"/>
          <w:color w:val="1A1625"/>
          <w:sz w:val="21"/>
          <w:szCs w:val="21"/>
        </w:rPr>
        <w:t xml:space="preserve">Primary button: Start Free — leadzen.ai/signup</w:t>
      </w:r>
    </w:p>
    <w:p>
      <w:pPr>
        <w:pStyle w:val="ListParagraph"/>
        <w:numPr>
          <w:ilvl w:val="0"/>
          <w:numId w:val="2"/>
        </w:numPr>
        <w:spacing w:after="100" w:line="290"/>
      </w:pPr>
      <w:r>
        <w:rPr>
          <w:rFonts w:ascii="Calibri" w:cs="Calibri" w:eastAsia="Calibri" w:hAnsi="Calibri"/>
          <w:color w:val="1A1625"/>
          <w:sz w:val="21"/>
          <w:szCs w:val="21"/>
        </w:rPr>
        <w:t xml:space="preserve">Secondary button: See it live — opens the platform tour on-page</w:t>
      </w:r>
    </w:p>
    <w:p>
      <w:pPr>
        <w:spacing w:after="40" w:before="60"/>
      </w:pPr>
      <w:r>
        <w:rPr>
          <w:rFonts w:ascii="Calibri" w:cs="Calibri" w:eastAsia="Calibri" w:hAnsi="Calibri"/>
          <w:b/>
          <w:bCs/>
          <w:color w:val="5B5568"/>
          <w:spacing w:val="20"/>
          <w:sz w:val="16"/>
          <w:szCs w:val="16"/>
        </w:rPr>
        <w:t xml:space="preserve">LIVE BADGE (SMALL PILL ABOVE OR BESIDE THE HEADLINE)</w:t>
      </w:r>
    </w:p>
    <w:p>
      <w:pPr>
        <w:spacing w:after="140" w:line="290"/>
      </w:pPr>
      <w:r>
        <w:rPr>
          <w:rFonts w:ascii="Calibri" w:cs="Calibri" w:eastAsia="Calibri" w:hAnsi="Calibri"/>
          <w:b/>
          <w:bCs/>
          <w:color w:val="0E7490"/>
          <w:sz w:val="21"/>
          <w:szCs w:val="21"/>
        </w:rPr>
        <w:t xml:space="preserve">[ Live: [X]M verified contacts across [X] countries, refreshed [weekly/daily] — insert Leadzen's actual current figures ]</w:t>
      </w:r>
    </w:p>
    <w:p>
      <w:pPr>
        <w:spacing w:after="40" w:before="60"/>
      </w:pPr>
      <w:r>
        <w:rPr>
          <w:rFonts w:ascii="Calibri" w:cs="Calibri" w:eastAsia="Calibri" w:hAnsi="Calibri"/>
          <w:b/>
          <w:bCs/>
          <w:color w:val="5B5568"/>
          <w:spacing w:val="20"/>
          <w:sz w:val="16"/>
          <w:szCs w:val="16"/>
        </w:rPr>
        <w:t xml:space="preserve">RESULT COUNTER (ANIMATED NUMBER NEAR THE HERO VISUAL)</w:t>
      </w:r>
    </w:p>
    <w:p>
      <w:pPr>
        <w:spacing w:after="140" w:line="290"/>
      </w:pPr>
      <w:r>
        <w:rPr>
          <w:rFonts w:ascii="Calibri" w:cs="Calibri" w:eastAsia="Calibri" w:hAnsi="Calibri"/>
          <w:b/>
          <w:bCs/>
          <w:color w:val="0E7490"/>
          <w:sz w:val="21"/>
          <w:szCs w:val="21"/>
        </w:rPr>
        <w:t xml:space="preserve">[ Insert a real, current count — e.g., searches run, contacts found this month, or companies mapped. Do not publish an estimated number as if it were live. ]</w:t>
      </w:r>
    </w:p>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Why this hero works for a CEO read: it makes a specific, falsifiable promise ("in any market, any language, any time zone") that is backed by product features described later in the doc — enrichment, region-aware sequencing, intent signals — rather than a vague superlative like "the world's best sales tool." No em dashes are used per brand voice; the one dash-like element in the alternate headline is an en dash used as a pause, not a substitute for "and."</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4. Trust bar / social proof strip</w:t>
      </w:r>
    </w:p>
    <w:p>
      <w:pPr>
        <w:spacing w:after="160" w:line="300"/>
      </w:pPr>
      <w:r>
        <w:rPr>
          <w:rFonts w:ascii="Calibri" w:cs="Calibri" w:eastAsia="Calibri" w:hAnsi="Calibri"/>
          <w:i w:val="false"/>
          <w:iCs w:val="false"/>
          <w:color w:val="1A1625"/>
          <w:sz w:val="21"/>
          <w:szCs w:val="21"/>
        </w:rPr>
        <w:t xml:space="preserve">Sits directly under the hero. Two components: a customer-logo strip and three proof stats.</w:t>
      </w:r>
    </w:p>
    <w:p>
      <w:pPr>
        <w:spacing w:after="40" w:before="60"/>
      </w:pPr>
      <w:r>
        <w:rPr>
          <w:rFonts w:ascii="Calibri" w:cs="Calibri" w:eastAsia="Calibri" w:hAnsi="Calibri"/>
          <w:b/>
          <w:bCs/>
          <w:color w:val="5B5568"/>
          <w:spacing w:val="20"/>
          <w:sz w:val="16"/>
          <w:szCs w:val="16"/>
        </w:rPr>
        <w:t xml:space="preserve">SECTION LABEL</w:t>
      </w:r>
    </w:p>
    <w:p>
      <w:pPr>
        <w:spacing w:after="160" w:line="300"/>
      </w:pPr>
      <w:r>
        <w:rPr>
          <w:rFonts w:ascii="Calibri" w:cs="Calibri" w:eastAsia="Calibri" w:hAnsi="Calibri"/>
          <w:i w:val="false"/>
          <w:iCs w:val="false"/>
          <w:color w:val="1A1625"/>
          <w:sz w:val="21"/>
          <w:szCs w:val="21"/>
        </w:rPr>
        <w:t xml:space="preserve">Trusted by revenue teams selling across [ X ] countries</w:t>
      </w:r>
    </w:p>
    <w:p>
      <w:pPr>
        <w:spacing w:after="40" w:before="60"/>
      </w:pPr>
      <w:r>
        <w:rPr>
          <w:rFonts w:ascii="Calibri" w:cs="Calibri" w:eastAsia="Calibri" w:hAnsi="Calibri"/>
          <w:b/>
          <w:bCs/>
          <w:color w:val="5B5568"/>
          <w:spacing w:val="20"/>
          <w:sz w:val="16"/>
          <w:szCs w:val="16"/>
        </w:rPr>
        <w:t xml:space="preserve">LOGO STRIP</w:t>
      </w:r>
    </w:p>
    <w:p>
      <w:pPr>
        <w:spacing w:after="140" w:line="290"/>
      </w:pPr>
      <w:r>
        <w:rPr>
          <w:rFonts w:ascii="Calibri" w:cs="Calibri" w:eastAsia="Calibri" w:hAnsi="Calibri"/>
          <w:b/>
          <w:bCs/>
          <w:color w:val="0E7490"/>
          <w:sz w:val="21"/>
          <w:szCs w:val="21"/>
        </w:rPr>
        <w:t xml:space="preserve">[ Insert real, permissioned customer logos only. Do not use placeholder or stock company names dressed up as customers. If logos are not yet cleared for public use, replace this strip with an industry-category strip instead: "Used by teams in SaaS, fintech, manufacturing, and professional services" ]</w:t>
      </w:r>
    </w:p>
    <w:p>
      <w:pPr>
        <w:spacing w:after="40" w:before="60"/>
      </w:pPr>
      <w:r>
        <w:rPr>
          <w:rFonts w:ascii="Calibri" w:cs="Calibri" w:eastAsia="Calibri" w:hAnsi="Calibri"/>
          <w:b/>
          <w:bCs/>
          <w:color w:val="5B5568"/>
          <w:spacing w:val="20"/>
          <w:sz w:val="16"/>
          <w:szCs w:val="16"/>
        </w:rPr>
        <w:t xml:space="preserve">PROOF STATS (THREE CELLS)</w:t>
      </w:r>
    </w:p>
    <w:p>
      <w:pPr>
        <w:spacing w:after="40"/>
      </w:pPr>
      <w:r>
        <w:rPr>
          <w:rFonts w:ascii="Calibri" w:cs="Calibri" w:eastAsia="Calibri" w:hAnsi="Calibri"/>
          <w:b/>
          <w:bCs/>
          <w:color w:val="6D28D9"/>
          <w:sz w:val="30"/>
          <w:szCs w:val="30"/>
        </w:rPr>
        <w:t xml:space="preserve">13+  </w:t>
      </w:r>
      <w:r>
        <w:rPr>
          <w:rFonts w:ascii="Calibri" w:cs="Calibri" w:eastAsia="Calibri" w:hAnsi="Calibri"/>
          <w:color w:val="5B5568"/>
          <w:sz w:val="18"/>
          <w:szCs w:val="18"/>
        </w:rPr>
        <w:t xml:space="preserve">average stakeholders now involved in a single B2B purchase (Forrester, State of Business Buying 2025)</w:t>
      </w:r>
    </w:p>
    <w:p>
      <w:pPr>
        <w:spacing w:after="40"/>
      </w:pPr>
      <w:r>
        <w:rPr>
          <w:rFonts w:ascii="Calibri" w:cs="Calibri" w:eastAsia="Calibri" w:hAnsi="Calibri"/>
          <w:b/>
          <w:bCs/>
          <w:color w:val="6D28D9"/>
          <w:sz w:val="30"/>
          <w:szCs w:val="30"/>
        </w:rPr>
        <w:t xml:space="preserve">94%  </w:t>
      </w:r>
      <w:r>
        <w:rPr>
          <w:rFonts w:ascii="Calibri" w:cs="Calibri" w:eastAsia="Calibri" w:hAnsi="Calibri"/>
          <w:color w:val="5B5568"/>
          <w:sz w:val="18"/>
          <w:szCs w:val="18"/>
        </w:rPr>
        <w:t xml:space="preserve">of B2B buyers used an LLM during their most recent purchase process (G2, 2025 Buyer Behavior Report)</w:t>
      </w:r>
    </w:p>
    <w:p>
      <w:pPr>
        <w:spacing w:after="40"/>
      </w:pPr>
      <w:r>
        <w:rPr>
          <w:rFonts w:ascii="Calibri" w:cs="Calibri" w:eastAsia="Calibri" w:hAnsi="Calibri"/>
          <w:b/>
          <w:bCs/>
          <w:color w:val="6D28D9"/>
          <w:sz w:val="30"/>
          <w:szCs w:val="30"/>
        </w:rPr>
        <w:t xml:space="preserve">30%  </w:t>
      </w:r>
      <w:r>
        <w:rPr>
          <w:rFonts w:ascii="Calibri" w:cs="Calibri" w:eastAsia="Calibri" w:hAnsi="Calibri"/>
          <w:color w:val="5B5568"/>
          <w:sz w:val="18"/>
          <w:szCs w:val="18"/>
        </w:rPr>
        <w:t xml:space="preserve">average annual decay rate of B2B contact records if left unrefreshed (industry benchmark, Prospeo 2026 market synthesis)</w:t>
      </w:r>
    </w:p>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These three stats set up the Problem section that follows. They are framed as market context, not as Leadzen's own results, so nothing here needs internal verification before publishing.</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5. Problem section — the four costs of manual, single-region selling</w:t>
      </w:r>
    </w:p>
    <w:p>
      <w:pPr>
        <w:spacing w:after="160" w:line="300"/>
      </w:pPr>
      <w:r>
        <w:rPr>
          <w:rFonts w:ascii="Calibri" w:cs="Calibri" w:eastAsia="Calibri" w:hAnsi="Calibri"/>
          <w:i w:val="false"/>
          <w:iCs w:val="false"/>
          <w:color w:val="1A1625"/>
          <w:sz w:val="21"/>
          <w:szCs w:val="21"/>
        </w:rPr>
        <w:t xml:space="preserve">Section eyebrow: The cost of selling the old way</w:t>
      </w:r>
    </w:p>
    <w:p>
      <w:pPr>
        <w:spacing w:after="160" w:line="300"/>
      </w:pPr>
      <w:r>
        <w:rPr>
          <w:rFonts w:ascii="Calibri" w:cs="Calibri" w:eastAsia="Calibri" w:hAnsi="Calibri"/>
          <w:i w:val="false"/>
          <w:iCs w:val="false"/>
          <w:color w:val="1A1625"/>
          <w:sz w:val="21"/>
          <w:szCs w:val="21"/>
        </w:rPr>
        <w:t xml:space="preserve">Section heading: Global growth is being lost to four preventable problems</w:t>
      </w:r>
    </w:p>
    <w:p>
      <w:pPr>
        <w:spacing w:after="80" w:before="220"/>
      </w:pPr>
      <w:r>
        <w:rPr>
          <w:rFonts w:ascii="Calibri" w:cs="Calibri" w:eastAsia="Calibri" w:hAnsi="Calibri"/>
          <w:b/>
          <w:bCs/>
          <w:color w:val="6D28D9"/>
          <w:sz w:val="22"/>
          <w:szCs w:val="22"/>
        </w:rPr>
        <w:t xml:space="preserve">Pain card 1 — Reps research more than they sell</w:t>
      </w:r>
    </w:p>
    <w:p>
      <w:pPr>
        <w:spacing w:after="160" w:line="300"/>
      </w:pPr>
      <w:r>
        <w:rPr>
          <w:rFonts w:ascii="Calibri" w:cs="Calibri" w:eastAsia="Calibri" w:hAnsi="Calibri"/>
          <w:i w:val="false"/>
          <w:iCs w:val="false"/>
          <w:color w:val="1A1625"/>
          <w:sz w:val="21"/>
          <w:szCs w:val="21"/>
        </w:rPr>
        <w:t xml:space="preserve">Sellers now spend the majority of their week on non-selling work: compiling account information, formatting proposals, and chasing down the right contact. Every hour spent confirming a job title is an hour not spent on a live conversation.</w:t>
      </w:r>
    </w:p>
    <w:p>
      <w:pPr>
        <w:spacing w:after="40"/>
      </w:pPr>
      <w:r>
        <w:rPr>
          <w:rFonts w:ascii="Calibri" w:cs="Calibri" w:eastAsia="Calibri" w:hAnsi="Calibri"/>
          <w:b/>
          <w:bCs/>
          <w:color w:val="6D28D9"/>
          <w:sz w:val="30"/>
          <w:szCs w:val="30"/>
        </w:rPr>
        <w:t xml:space="preserve">~72%  </w:t>
      </w:r>
      <w:r>
        <w:rPr>
          <w:rFonts w:ascii="Calibri" w:cs="Calibri" w:eastAsia="Calibri" w:hAnsi="Calibri"/>
          <w:color w:val="5B5568"/>
          <w:sz w:val="18"/>
          <w:szCs w:val="18"/>
        </w:rPr>
        <w:t xml:space="preserve">of B2B seller time goes to non-selling tasks, including account research and prospect list-building (industry benchmark, SellersCommerce 2026 B2B statistics roundup)</w:t>
      </w:r>
    </w:p>
    <w:p>
      <w:pPr>
        <w:spacing w:after="80" w:before="220"/>
      </w:pPr>
      <w:r>
        <w:rPr>
          <w:rFonts w:ascii="Calibri" w:cs="Calibri" w:eastAsia="Calibri" w:hAnsi="Calibri"/>
          <w:b/>
          <w:bCs/>
          <w:color w:val="6D28D9"/>
          <w:sz w:val="22"/>
          <w:szCs w:val="22"/>
        </w:rPr>
        <w:t xml:space="preserve">Pain card 2 — The deal stalls in a committee you can't see</w:t>
      </w:r>
    </w:p>
    <w:p>
      <w:pPr>
        <w:spacing w:after="160" w:line="300"/>
      </w:pPr>
      <w:r>
        <w:rPr>
          <w:rFonts w:ascii="Calibri" w:cs="Calibri" w:eastAsia="Calibri" w:hAnsi="Calibri"/>
          <w:i w:val="false"/>
          <w:iCs w:val="false"/>
          <w:color w:val="1A1625"/>
          <w:sz w:val="21"/>
          <w:szCs w:val="21"/>
        </w:rPr>
        <w:t xml:space="preserve">A rep who maps one champion is mapping roughly a tenth of the room. The modern B2B buying committee spans procurement, security, finance, and line-of-business owners, most of whom the seller never speaks to directly until late in the cycle, if at all.</w:t>
      </w:r>
    </w:p>
    <w:p>
      <w:pPr>
        <w:spacing w:after="40"/>
      </w:pPr>
      <w:r>
        <w:rPr>
          <w:rFonts w:ascii="Calibri" w:cs="Calibri" w:eastAsia="Calibri" w:hAnsi="Calibri"/>
          <w:b/>
          <w:bCs/>
          <w:color w:val="6D28D9"/>
          <w:sz w:val="30"/>
          <w:szCs w:val="30"/>
        </w:rPr>
        <w:t xml:space="preserve">13 + 9  </w:t>
      </w:r>
      <w:r>
        <w:rPr>
          <w:rFonts w:ascii="Calibri" w:cs="Calibri" w:eastAsia="Calibri" w:hAnsi="Calibri"/>
          <w:color w:val="5B5568"/>
          <w:sz w:val="18"/>
          <w:szCs w:val="18"/>
        </w:rPr>
        <w:t xml:space="preserve">internal stakeholders and external participants in the average B2B purchase (Forrester, State of Business Buying 2025)</w:t>
      </w:r>
    </w:p>
    <w:p>
      <w:pPr>
        <w:spacing w:after="40"/>
      </w:pPr>
      <w:r>
        <w:rPr>
          <w:rFonts w:ascii="Calibri" w:cs="Calibri" w:eastAsia="Calibri" w:hAnsi="Calibri"/>
          <w:b/>
          <w:bCs/>
          <w:color w:val="6D28D9"/>
          <w:sz w:val="30"/>
          <w:szCs w:val="30"/>
        </w:rPr>
        <w:t xml:space="preserve">40–60%  </w:t>
      </w:r>
      <w:r>
        <w:rPr>
          <w:rFonts w:ascii="Calibri" w:cs="Calibri" w:eastAsia="Calibri" w:hAnsi="Calibri"/>
          <w:color w:val="5B5568"/>
          <w:sz w:val="18"/>
          <w:szCs w:val="18"/>
        </w:rPr>
        <w:t xml:space="preserve">of qualified B2B pipeline ends in "no decision" rather than a loss to a competitor (Prospeo, 2026 buying-behavior synthesis)</w:t>
      </w:r>
    </w:p>
    <w:p>
      <w:pPr>
        <w:spacing w:after="80" w:before="220"/>
      </w:pPr>
      <w:r>
        <w:rPr>
          <w:rFonts w:ascii="Calibri" w:cs="Calibri" w:eastAsia="Calibri" w:hAnsi="Calibri"/>
          <w:b/>
          <w:bCs/>
          <w:color w:val="6D28D9"/>
          <w:sz w:val="22"/>
          <w:szCs w:val="22"/>
        </w:rPr>
        <w:t xml:space="preserve">Pain card 3 — Contact data goes stale faster than teams refresh it</w:t>
      </w:r>
    </w:p>
    <w:p>
      <w:pPr>
        <w:spacing w:after="160" w:line="300"/>
      </w:pPr>
      <w:r>
        <w:rPr>
          <w:rFonts w:ascii="Calibri" w:cs="Calibri" w:eastAsia="Calibri" w:hAnsi="Calibri"/>
          <w:i w:val="false"/>
          <w:iCs w:val="false"/>
          <w:color w:val="1A1625"/>
          <w:sz w:val="21"/>
          <w:szCs w:val="21"/>
        </w:rPr>
        <w:t xml:space="preserve">A list built in January is measurably wrong by the following January. People change roles, companies restructure, and a contact record that was accurate at export time quietly becomes a bounce, a wrong number, or a missed decision-maker.</w:t>
      </w:r>
    </w:p>
    <w:p>
      <w:pPr>
        <w:spacing w:after="40"/>
      </w:pPr>
      <w:r>
        <w:rPr>
          <w:rFonts w:ascii="Calibri" w:cs="Calibri" w:eastAsia="Calibri" w:hAnsi="Calibri"/>
          <w:b/>
          <w:bCs/>
          <w:color w:val="6D28D9"/>
          <w:sz w:val="30"/>
          <w:szCs w:val="30"/>
        </w:rPr>
        <w:t xml:space="preserve">~30%  </w:t>
      </w:r>
      <w:r>
        <w:rPr>
          <w:rFonts w:ascii="Calibri" w:cs="Calibri" w:eastAsia="Calibri" w:hAnsi="Calibri"/>
          <w:color w:val="5B5568"/>
          <w:sz w:val="18"/>
          <w:szCs w:val="18"/>
        </w:rPr>
        <w:t xml:space="preserve">of B2B contact records decay annually if the underlying data is not continuously refreshed (industry benchmark)</w:t>
      </w:r>
    </w:p>
    <w:p>
      <w:pPr>
        <w:spacing w:after="80" w:before="220"/>
      </w:pPr>
      <w:r>
        <w:rPr>
          <w:rFonts w:ascii="Calibri" w:cs="Calibri" w:eastAsia="Calibri" w:hAnsi="Calibri"/>
          <w:b/>
          <w:bCs/>
          <w:color w:val="6D28D9"/>
          <w:sz w:val="22"/>
          <w:szCs w:val="22"/>
        </w:rPr>
        <w:t xml:space="preserve">Pain card 4 — One region's playbook does not travel</w:t>
      </w:r>
    </w:p>
    <w:p>
      <w:pPr>
        <w:spacing w:after="160" w:line="300"/>
      </w:pPr>
      <w:r>
        <w:rPr>
          <w:rFonts w:ascii="Calibri" w:cs="Calibri" w:eastAsia="Calibri" w:hAnsi="Calibri"/>
          <w:i w:val="false"/>
          <w:iCs w:val="false"/>
          <w:color w:val="1A1625"/>
          <w:sz w:val="21"/>
          <w:szCs w:val="21"/>
        </w:rPr>
        <w:t xml:space="preserve">A cadence tuned for a nine-to-five North American buyer sends outreach at 2 a.m. in Singapore. A message written for a US procurement process ignores that 79% of purchases require CFO approval and that approval paths, preferred channels, and even the expected first-touch method (email versus WhatsApp versus a phone call) shift by market. Selling globally on a single-region playbook is not efficient. It is invisible waste.</w:t>
      </w:r>
    </w:p>
    <w:p>
      <w:pPr>
        <w:spacing w:after="40"/>
      </w:pPr>
      <w:r>
        <w:rPr>
          <w:rFonts w:ascii="Calibri" w:cs="Calibri" w:eastAsia="Calibri" w:hAnsi="Calibri"/>
          <w:b/>
          <w:bCs/>
          <w:color w:val="6D28D9"/>
          <w:sz w:val="30"/>
          <w:szCs w:val="30"/>
        </w:rPr>
        <w:t xml:space="preserve">10.2  </w:t>
      </w:r>
      <w:r>
        <w:rPr>
          <w:rFonts w:ascii="Calibri" w:cs="Calibri" w:eastAsia="Calibri" w:hAnsi="Calibri"/>
          <w:color w:val="5B5568"/>
          <w:sz w:val="18"/>
          <w:szCs w:val="18"/>
        </w:rPr>
        <w:t xml:space="preserve">average interaction channels a B2B buyer now uses during a purchase journey, up from 5 in 2016 (Omnibound, aggregated 2026 buying statistics)</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6. Platform tour — Find, Enrich, Engage, Analyze</w:t>
      </w:r>
    </w:p>
    <w:p>
      <w:pPr>
        <w:spacing w:after="160" w:line="300"/>
      </w:pPr>
      <w:r>
        <w:rPr>
          <w:rFonts w:ascii="Calibri" w:cs="Calibri" w:eastAsia="Calibri" w:hAnsi="Calibri"/>
          <w:i w:val="false"/>
          <w:iCs w:val="false"/>
          <w:color w:val="1A1625"/>
          <w:sz w:val="21"/>
          <w:szCs w:val="21"/>
        </w:rPr>
        <w:t xml:space="preserve">Section eyebrow: Inside the platform</w:t>
      </w:r>
    </w:p>
    <w:p>
      <w:pPr>
        <w:spacing w:after="160" w:line="300"/>
      </w:pPr>
      <w:r>
        <w:rPr>
          <w:rFonts w:ascii="Calibri" w:cs="Calibri" w:eastAsia="Calibri" w:hAnsi="Calibri"/>
          <w:i w:val="false"/>
          <w:iCs w:val="false"/>
          <w:color w:val="1A1625"/>
          <w:sz w:val="21"/>
          <w:szCs w:val="21"/>
        </w:rPr>
        <w:t xml:space="preserve">Section heading: One workflow, from first search to closed-won</w:t>
      </w:r>
    </w:p>
    <w:p>
      <w:pPr>
        <w:spacing w:after="160" w:line="300"/>
      </w:pPr>
      <w:r>
        <w:rPr>
          <w:rFonts w:ascii="Calibri" w:cs="Calibri" w:eastAsia="Calibri" w:hAnsi="Calibri"/>
          <w:i w:val="false"/>
          <w:iCs w:val="false"/>
          <w:color w:val="1A1625"/>
          <w:sz w:val="21"/>
          <w:szCs w:val="21"/>
        </w:rPr>
        <w:t xml:space="preserve">This section maps to the four-tab product tour already present in the layout (search bar and filter panel, enrichment profile card, sequence/mail composer, and analytics chart). Copy for each tab:</w:t>
      </w:r>
    </w:p>
    <w:p>
      <w:pPr>
        <w:spacing w:after="80" w:before="220"/>
      </w:pPr>
      <w:r>
        <w:rPr>
          <w:rFonts w:ascii="Calibri" w:cs="Calibri" w:eastAsia="Calibri" w:hAnsi="Calibri"/>
          <w:b/>
          <w:bCs/>
          <w:color w:val="6D28D9"/>
          <w:sz w:val="22"/>
          <w:szCs w:val="22"/>
        </w:rPr>
        <w:t xml:space="preserve">Tab 1 — Find</w:t>
      </w:r>
    </w:p>
    <w:p>
      <w:pPr>
        <w:spacing w:after="160" w:line="300"/>
      </w:pPr>
      <w:r>
        <w:rPr>
          <w:rFonts w:ascii="Calibri" w:cs="Calibri" w:eastAsia="Calibri" w:hAnsi="Calibri"/>
          <w:i w:val="false"/>
          <w:iCs w:val="false"/>
          <w:color w:val="1A1625"/>
          <w:sz w:val="21"/>
          <w:szCs w:val="21"/>
        </w:rPr>
        <w:t xml:space="preserve">Search the global market the way a market researcher would, not the way a spreadsheet forces a rep to. Filter by industry, headcount, revenue band, funding stage, technology stack, and hiring signal, then narrow to the accounts actively showing buying intent right now.</w:t>
      </w:r>
    </w:p>
    <w:p>
      <w:pPr>
        <w:pStyle w:val="ListParagraph"/>
        <w:numPr>
          <w:ilvl w:val="0"/>
          <w:numId w:val="2"/>
        </w:numPr>
        <w:spacing w:after="100" w:line="290"/>
      </w:pPr>
      <w:r>
        <w:rPr>
          <w:rFonts w:ascii="Calibri" w:cs="Calibri" w:eastAsia="Calibri" w:hAnsi="Calibri"/>
          <w:color w:val="1A1625"/>
          <w:sz w:val="21"/>
          <w:szCs w:val="21"/>
        </w:rPr>
        <w:t xml:space="preserve">Firmographic and technographic filters spanning company size, industry (ISIC/NAICS-aligned), and tech stack</w:t>
      </w:r>
    </w:p>
    <w:p>
      <w:pPr>
        <w:pStyle w:val="ListParagraph"/>
        <w:numPr>
          <w:ilvl w:val="0"/>
          <w:numId w:val="2"/>
        </w:numPr>
        <w:spacing w:after="100" w:line="290"/>
      </w:pPr>
      <w:r>
        <w:rPr>
          <w:rFonts w:ascii="Calibri" w:cs="Calibri" w:eastAsia="Calibri" w:hAnsi="Calibri"/>
          <w:color w:val="1A1625"/>
          <w:sz w:val="21"/>
          <w:szCs w:val="21"/>
        </w:rPr>
        <w:t xml:space="preserve">Buying-intent signals surfaced at the account level, not buried in a separate report</w:t>
      </w:r>
    </w:p>
    <w:p>
      <w:pPr>
        <w:pStyle w:val="ListParagraph"/>
        <w:numPr>
          <w:ilvl w:val="0"/>
          <w:numId w:val="2"/>
        </w:numPr>
        <w:spacing w:after="100" w:line="290"/>
      </w:pPr>
      <w:r>
        <w:rPr>
          <w:rFonts w:ascii="Calibri" w:cs="Calibri" w:eastAsia="Calibri" w:hAnsi="Calibri"/>
          <w:color w:val="1A1625"/>
          <w:sz w:val="21"/>
          <w:szCs w:val="21"/>
        </w:rPr>
        <w:t xml:space="preserve">Region and language filters so a search for "marketing directors in manufacturing" returns Bengaluru, São Paulo, and Berlin with equal accuracy</w:t>
      </w:r>
    </w:p>
    <w:p>
      <w:pPr>
        <w:spacing w:after="80" w:before="220"/>
      </w:pPr>
      <w:r>
        <w:rPr>
          <w:rFonts w:ascii="Calibri" w:cs="Calibri" w:eastAsia="Calibri" w:hAnsi="Calibri"/>
          <w:b/>
          <w:bCs/>
          <w:color w:val="6D28D9"/>
          <w:sz w:val="22"/>
          <w:szCs w:val="22"/>
        </w:rPr>
        <w:t xml:space="preserve">Tab 2 — Enrich</w:t>
      </w:r>
    </w:p>
    <w:p>
      <w:pPr>
        <w:spacing w:after="160" w:line="300"/>
      </w:pPr>
      <w:r>
        <w:rPr>
          <w:rFonts w:ascii="Calibri" w:cs="Calibri" w:eastAsia="Calibri" w:hAnsi="Calibri"/>
          <w:i w:val="false"/>
          <w:iCs w:val="false"/>
          <w:color w:val="1A1625"/>
          <w:sz w:val="21"/>
          <w:szCs w:val="21"/>
        </w:rPr>
        <w:t xml:space="preserve">Turn a name into a usable contact record: verified email, direct dial where available, current title, and the two or three firmographic details a rep actually needs before dialing. Enrichment runs on a continuous refresh cycle rather than a one-time export, which is the direct answer to the 30% annual data-decay problem raised in the Problem section.</w:t>
      </w:r>
    </w:p>
    <w:p>
      <w:pPr>
        <w:pStyle w:val="ListParagraph"/>
        <w:numPr>
          <w:ilvl w:val="0"/>
          <w:numId w:val="2"/>
        </w:numPr>
        <w:spacing w:after="100" w:line="290"/>
      </w:pPr>
      <w:r>
        <w:rPr>
          <w:rFonts w:ascii="Calibri" w:cs="Calibri" w:eastAsia="Calibri" w:hAnsi="Calibri"/>
          <w:color w:val="1A1625"/>
          <w:sz w:val="21"/>
          <w:szCs w:val="21"/>
        </w:rPr>
        <w:t xml:space="preserve">Waterfall enrichment across multiple verification passes to reduce bounce and wrong-number rates</w:t>
      </w:r>
    </w:p>
    <w:p>
      <w:pPr>
        <w:pStyle w:val="ListParagraph"/>
        <w:numPr>
          <w:ilvl w:val="0"/>
          <w:numId w:val="2"/>
        </w:numPr>
        <w:spacing w:after="100" w:line="290"/>
      </w:pPr>
      <w:r>
        <w:rPr>
          <w:rFonts w:ascii="Calibri" w:cs="Calibri" w:eastAsia="Calibri" w:hAnsi="Calibri"/>
          <w:color w:val="1A1625"/>
          <w:sz w:val="21"/>
          <w:szCs w:val="21"/>
        </w:rPr>
        <w:t xml:space="preserve">Continuous background refresh, not a static export</w:t>
      </w:r>
    </w:p>
    <w:p>
      <w:pPr>
        <w:pStyle w:val="ListParagraph"/>
        <w:numPr>
          <w:ilvl w:val="0"/>
          <w:numId w:val="2"/>
        </w:numPr>
        <w:spacing w:after="100" w:line="290"/>
      </w:pPr>
      <w:r>
        <w:rPr>
          <w:rFonts w:ascii="Calibri" w:cs="Calibri" w:eastAsia="Calibri" w:hAnsi="Calibri"/>
          <w:color w:val="1A1625"/>
          <w:sz w:val="21"/>
          <w:szCs w:val="21"/>
        </w:rPr>
        <w:t xml:space="preserve">Region-aware data handling aligned to the jurisdiction the contact sits in</w:t>
      </w:r>
    </w:p>
    <w:p>
      <w:pPr>
        <w:spacing w:after="80" w:before="220"/>
      </w:pPr>
      <w:r>
        <w:rPr>
          <w:rFonts w:ascii="Calibri" w:cs="Calibri" w:eastAsia="Calibri" w:hAnsi="Calibri"/>
          <w:b/>
          <w:bCs/>
          <w:color w:val="6D28D9"/>
          <w:sz w:val="22"/>
          <w:szCs w:val="22"/>
        </w:rPr>
        <w:t xml:space="preserve">Tab 3 — Engage</w:t>
      </w:r>
    </w:p>
    <w:p>
      <w:pPr>
        <w:spacing w:after="160" w:line="300"/>
      </w:pPr>
      <w:r>
        <w:rPr>
          <w:rFonts w:ascii="Calibri" w:cs="Calibri" w:eastAsia="Calibri" w:hAnsi="Calibri"/>
          <w:i w:val="false"/>
          <w:iCs w:val="false"/>
          <w:color w:val="1A1625"/>
          <w:sz w:val="21"/>
          <w:szCs w:val="21"/>
        </w:rPr>
        <w:t xml:space="preserve">Sequence outreach across email, LinkedIn, and WhatsApp from a single queue, with send times that respect the recipient's local working hours rather than the sender's. Multi-threaded sequences reach more than one stakeholder in the same account in parallel, which the data above ties directly to higher win rates than single-threaded outreach.</w:t>
      </w:r>
    </w:p>
    <w:p>
      <w:pPr>
        <w:pStyle w:val="ListParagraph"/>
        <w:numPr>
          <w:ilvl w:val="0"/>
          <w:numId w:val="2"/>
        </w:numPr>
        <w:spacing w:after="100" w:line="290"/>
      </w:pPr>
      <w:r>
        <w:rPr>
          <w:rFonts w:ascii="Calibri" w:cs="Calibri" w:eastAsia="Calibri" w:hAnsi="Calibri"/>
          <w:color w:val="1A1625"/>
          <w:sz w:val="21"/>
          <w:szCs w:val="21"/>
        </w:rPr>
        <w:t xml:space="preserve">Timezone-aware scheduling across every region a team sells into</w:t>
      </w:r>
    </w:p>
    <w:p>
      <w:pPr>
        <w:pStyle w:val="ListParagraph"/>
        <w:numPr>
          <w:ilvl w:val="0"/>
          <w:numId w:val="2"/>
        </w:numPr>
        <w:spacing w:after="100" w:line="290"/>
      </w:pPr>
      <w:r>
        <w:rPr>
          <w:rFonts w:ascii="Calibri" w:cs="Calibri" w:eastAsia="Calibri" w:hAnsi="Calibri"/>
          <w:color w:val="1A1625"/>
          <w:sz w:val="21"/>
          <w:szCs w:val="21"/>
        </w:rPr>
        <w:t xml:space="preserve">Multi-channel sequencing, including WhatsApp for markets where it is the default professional channel</w:t>
      </w:r>
    </w:p>
    <w:p>
      <w:pPr>
        <w:pStyle w:val="ListParagraph"/>
        <w:numPr>
          <w:ilvl w:val="0"/>
          <w:numId w:val="2"/>
        </w:numPr>
        <w:spacing w:after="100" w:line="290"/>
      </w:pPr>
      <w:r>
        <w:rPr>
          <w:rFonts w:ascii="Calibri" w:cs="Calibri" w:eastAsia="Calibri" w:hAnsi="Calibri"/>
          <w:color w:val="1A1625"/>
          <w:sz w:val="21"/>
          <w:szCs w:val="21"/>
        </w:rPr>
        <w:t xml:space="preserve">Multi-threading across a buying committee, not just a single named contact</w:t>
      </w:r>
    </w:p>
    <w:p>
      <w:pPr>
        <w:spacing w:after="80" w:before="220"/>
      </w:pPr>
      <w:r>
        <w:rPr>
          <w:rFonts w:ascii="Calibri" w:cs="Calibri" w:eastAsia="Calibri" w:hAnsi="Calibri"/>
          <w:b/>
          <w:bCs/>
          <w:color w:val="6D28D9"/>
          <w:sz w:val="22"/>
          <w:szCs w:val="22"/>
        </w:rPr>
        <w:t xml:space="preserve">Tab 4 — Analyze</w:t>
      </w:r>
    </w:p>
    <w:p>
      <w:pPr>
        <w:spacing w:after="160" w:line="300"/>
      </w:pPr>
      <w:r>
        <w:rPr>
          <w:rFonts w:ascii="Calibri" w:cs="Calibri" w:eastAsia="Calibri" w:hAnsi="Calibri"/>
          <w:i w:val="false"/>
          <w:iCs w:val="false"/>
          <w:color w:val="1A1625"/>
          <w:sz w:val="21"/>
          <w:szCs w:val="21"/>
        </w:rPr>
        <w:t xml:space="preserve">See the pipeline the way a regional VP needs to see it: by stage, by rep, and by region, with the stall points visible before the forecast call rather than during it.</w:t>
      </w:r>
    </w:p>
    <w:p>
      <w:pPr>
        <w:pStyle w:val="ListParagraph"/>
        <w:numPr>
          <w:ilvl w:val="0"/>
          <w:numId w:val="2"/>
        </w:numPr>
        <w:spacing w:after="100" w:line="290"/>
      </w:pPr>
      <w:r>
        <w:rPr>
          <w:rFonts w:ascii="Calibri" w:cs="Calibri" w:eastAsia="Calibri" w:hAnsi="Calibri"/>
          <w:color w:val="1A1625"/>
          <w:sz w:val="21"/>
          <w:szCs w:val="21"/>
        </w:rPr>
        <w:t xml:space="preserve">Stage-by-stage conversion tracking, benchmarked against category norms</w:t>
      </w:r>
    </w:p>
    <w:p>
      <w:pPr>
        <w:pStyle w:val="ListParagraph"/>
        <w:numPr>
          <w:ilvl w:val="0"/>
          <w:numId w:val="2"/>
        </w:numPr>
        <w:spacing w:after="100" w:line="290"/>
      </w:pPr>
      <w:r>
        <w:rPr>
          <w:rFonts w:ascii="Calibri" w:cs="Calibri" w:eastAsia="Calibri" w:hAnsi="Calibri"/>
          <w:color w:val="1A1625"/>
          <w:sz w:val="21"/>
          <w:szCs w:val="21"/>
        </w:rPr>
        <w:t xml:space="preserve">Region-level pipeline breakdowns for teams running more than one go-to-market motion at once</w:t>
      </w:r>
    </w:p>
    <w:p>
      <w:pPr>
        <w:pStyle w:val="ListParagraph"/>
        <w:numPr>
          <w:ilvl w:val="0"/>
          <w:numId w:val="2"/>
        </w:numPr>
        <w:spacing w:after="100" w:line="290"/>
      </w:pPr>
      <w:r>
        <w:rPr>
          <w:rFonts w:ascii="Calibri" w:cs="Calibri" w:eastAsia="Calibri" w:hAnsi="Calibri"/>
          <w:color w:val="1A1625"/>
          <w:sz w:val="21"/>
          <w:szCs w:val="21"/>
        </w:rPr>
        <w:t xml:space="preserve">Rep-level activity and outcome reporting without needing a separate BI tool</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7. Pipeline section — from sourced to closed-won</w:t>
      </w:r>
    </w:p>
    <w:p>
      <w:pPr>
        <w:spacing w:after="160" w:line="300"/>
      </w:pPr>
      <w:r>
        <w:rPr>
          <w:rFonts w:ascii="Calibri" w:cs="Calibri" w:eastAsia="Calibri" w:hAnsi="Calibri"/>
          <w:i w:val="false"/>
          <w:iCs w:val="false"/>
          <w:color w:val="1A1625"/>
          <w:sz w:val="21"/>
          <w:szCs w:val="21"/>
        </w:rPr>
        <w:t xml:space="preserve">Section eyebrow: See the whole deal, not just your slice of it</w:t>
      </w:r>
    </w:p>
    <w:p>
      <w:pPr>
        <w:spacing w:after="160" w:line="300"/>
      </w:pPr>
      <w:r>
        <w:rPr>
          <w:rFonts w:ascii="Calibri" w:cs="Calibri" w:eastAsia="Calibri" w:hAnsi="Calibri"/>
          <w:i w:val="false"/>
          <w:iCs w:val="false"/>
          <w:color w:val="1A1625"/>
          <w:sz w:val="21"/>
          <w:szCs w:val="21"/>
        </w:rPr>
        <w:t xml:space="preserve">Section heading: Every stage, every region, one view</w:t>
      </w:r>
    </w:p>
    <w:p>
      <w:pPr>
        <w:spacing w:after="160" w:line="300"/>
      </w:pPr>
      <w:r>
        <w:rPr>
          <w:rFonts w:ascii="Calibri" w:cs="Calibri" w:eastAsia="Calibri" w:hAnsi="Calibri"/>
          <w:i w:val="false"/>
          <w:iCs w:val="false"/>
          <w:color w:val="1A1625"/>
          <w:sz w:val="21"/>
          <w:szCs w:val="21"/>
        </w:rPr>
        <w:t xml:space="preserve">This section visualizes the pipeline stages already built into the layout (a horizontal stage tracker with live counts). Suggested stage labels and the benchmark context to show alongside each, so the visualization reads as informed rather than decorative: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Stage</w:t>
            </w:r>
          </w:p>
        </w:tc>
        <w:tc>
          <w:tcPr>
            <w:tcW w:type="dxa" w:w="420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What it means</w:t>
            </w:r>
          </w:p>
        </w:tc>
        <w:tc>
          <w:tcPr>
            <w:tcW w:type="dxa" w:w="335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Benchmark shown alongside the count</w:t>
            </w:r>
          </w:p>
        </w:tc>
      </w:tr>
      <w:tr>
        <w:tc>
          <w:tcPr>
            <w:tcW w:type="dxa" w:w="1800"/>
            <w:shd w:fill="FFFFFF" w:val="clear"/>
            <w:tcMar>
              <w:top w:type="dxa" w:w="80"/>
              <w:left w:type="dxa" w:w="100"/>
              <w:bottom w:type="dxa" w:w="80"/>
              <w:right w:type="dxa" w:w="100"/>
            </w:tcMar>
          </w:tcPr>
          <w:p>
            <w:r>
              <w:rPr>
                <w:rFonts w:ascii="Calibri" w:cs="Calibri" w:eastAsia="Calibri" w:hAnsi="Calibri"/>
                <w:color w:val="1A1625"/>
                <w:sz w:val="19"/>
                <w:szCs w:val="19"/>
              </w:rPr>
              <w:t xml:space="preserve">Sourced</w:t>
            </w:r>
          </w:p>
        </w:tc>
        <w:tc>
          <w:tcPr>
            <w:tcW w:type="dxa" w:w="4200"/>
            <w:shd w:fill="FFFFFF" w:val="clear"/>
            <w:tcMar>
              <w:top w:type="dxa" w:w="80"/>
              <w:left w:type="dxa" w:w="100"/>
              <w:bottom w:type="dxa" w:w="80"/>
              <w:right w:type="dxa" w:w="100"/>
            </w:tcMar>
          </w:tcPr>
          <w:p>
            <w:r>
              <w:rPr>
                <w:rFonts w:ascii="Calibri" w:cs="Calibri" w:eastAsia="Calibri" w:hAnsi="Calibri"/>
                <w:color w:val="1A1625"/>
                <w:sz w:val="19"/>
                <w:szCs w:val="19"/>
              </w:rPr>
              <w:t xml:space="preserve">Account or contact identified via Find and Enrich</w:t>
            </w:r>
          </w:p>
        </w:tc>
        <w:tc>
          <w:tcPr>
            <w:tcW w:type="dxa" w:w="3350"/>
            <w:shd w:fill="FFFFFF" w:val="clear"/>
            <w:tcMar>
              <w:top w:type="dxa" w:w="80"/>
              <w:left w:type="dxa" w:w="100"/>
              <w:bottom w:type="dxa" w:w="80"/>
              <w:right w:type="dxa" w:w="100"/>
            </w:tcMar>
          </w:tcPr>
          <w:p>
            <w:r>
              <w:rPr>
                <w:rFonts w:ascii="Calibri" w:cs="Calibri" w:eastAsia="Calibri" w:hAnsi="Calibri"/>
                <w:color w:val="1A1625"/>
                <w:sz w:val="19"/>
                <w:szCs w:val="19"/>
              </w:rPr>
              <w:t xml:space="preserve">Starting volume, set per campaign</w:t>
            </w:r>
          </w:p>
        </w:tc>
      </w:tr>
      <w:tr>
        <w:tc>
          <w:tcPr>
            <w:tcW w:type="dxa" w:w="1800"/>
            <w:shd w:fill="F3F1F8" w:val="clear"/>
            <w:tcMar>
              <w:top w:type="dxa" w:w="80"/>
              <w:left w:type="dxa" w:w="100"/>
              <w:bottom w:type="dxa" w:w="80"/>
              <w:right w:type="dxa" w:w="100"/>
            </w:tcMar>
          </w:tcPr>
          <w:p>
            <w:r>
              <w:rPr>
                <w:rFonts w:ascii="Calibri" w:cs="Calibri" w:eastAsia="Calibri" w:hAnsi="Calibri"/>
                <w:color w:val="1A1625"/>
                <w:sz w:val="19"/>
                <w:szCs w:val="19"/>
              </w:rPr>
              <w:t xml:space="preserve">Qualified</w:t>
            </w:r>
          </w:p>
        </w:tc>
        <w:tc>
          <w:tcPr>
            <w:tcW w:type="dxa" w:w="4200"/>
            <w:shd w:fill="F3F1F8" w:val="clear"/>
            <w:tcMar>
              <w:top w:type="dxa" w:w="80"/>
              <w:left w:type="dxa" w:w="100"/>
              <w:bottom w:type="dxa" w:w="80"/>
              <w:right w:type="dxa" w:w="100"/>
            </w:tcMar>
          </w:tcPr>
          <w:p>
            <w:r>
              <w:rPr>
                <w:rFonts w:ascii="Calibri" w:cs="Calibri" w:eastAsia="Calibri" w:hAnsi="Calibri"/>
                <w:color w:val="1A1625"/>
                <w:sz w:val="19"/>
                <w:szCs w:val="19"/>
              </w:rPr>
              <w:t xml:space="preserve">Meets ICP criteria and shows an active buying-intent signal</w:t>
            </w:r>
          </w:p>
        </w:tc>
        <w:tc>
          <w:tcPr>
            <w:tcW w:type="dxa" w:w="3350"/>
            <w:shd w:fill="F3F1F8" w:val="clear"/>
            <w:tcMar>
              <w:top w:type="dxa" w:w="80"/>
              <w:left w:type="dxa" w:w="100"/>
              <w:bottom w:type="dxa" w:w="80"/>
              <w:right w:type="dxa" w:w="100"/>
            </w:tcMar>
          </w:tcPr>
          <w:p>
            <w:r>
              <w:rPr>
                <w:rFonts w:ascii="Calibri" w:cs="Calibri" w:eastAsia="Calibri" w:hAnsi="Calibri"/>
                <w:color w:val="1A1625"/>
                <w:sz w:val="19"/>
                <w:szCs w:val="19"/>
              </w:rPr>
              <w:t xml:space="preserve">Categorized against buying-committee mapping</w:t>
            </w:r>
          </w:p>
        </w:tc>
      </w:tr>
      <w:tr>
        <w:tc>
          <w:tcPr>
            <w:tcW w:type="dxa" w:w="1800"/>
            <w:shd w:fill="FFFFFF" w:val="clear"/>
            <w:tcMar>
              <w:top w:type="dxa" w:w="80"/>
              <w:left w:type="dxa" w:w="100"/>
              <w:bottom w:type="dxa" w:w="80"/>
              <w:right w:type="dxa" w:w="100"/>
            </w:tcMar>
          </w:tcPr>
          <w:p>
            <w:r>
              <w:rPr>
                <w:rFonts w:ascii="Calibri" w:cs="Calibri" w:eastAsia="Calibri" w:hAnsi="Calibri"/>
                <w:color w:val="1A1625"/>
                <w:sz w:val="19"/>
                <w:szCs w:val="19"/>
              </w:rPr>
              <w:t xml:space="preserve">Engaged</w:t>
            </w:r>
          </w:p>
        </w:tc>
        <w:tc>
          <w:tcPr>
            <w:tcW w:type="dxa" w:w="4200"/>
            <w:shd w:fill="FFFFFF" w:val="clear"/>
            <w:tcMar>
              <w:top w:type="dxa" w:w="80"/>
              <w:left w:type="dxa" w:w="100"/>
              <w:bottom w:type="dxa" w:w="80"/>
              <w:right w:type="dxa" w:w="100"/>
            </w:tcMar>
          </w:tcPr>
          <w:p>
            <w:r>
              <w:rPr>
                <w:rFonts w:ascii="Calibri" w:cs="Calibri" w:eastAsia="Calibri" w:hAnsi="Calibri"/>
                <w:color w:val="1A1625"/>
                <w:sz w:val="19"/>
                <w:szCs w:val="19"/>
              </w:rPr>
              <w:t xml:space="preserve">At least one stakeholder has responded to outreach</w:t>
            </w:r>
          </w:p>
        </w:tc>
        <w:tc>
          <w:tcPr>
            <w:tcW w:type="dxa" w:w="3350"/>
            <w:shd w:fill="FFFFFF" w:val="clear"/>
            <w:tcMar>
              <w:top w:type="dxa" w:w="80"/>
              <w:left w:type="dxa" w:w="100"/>
              <w:bottom w:type="dxa" w:w="80"/>
              <w:right w:type="dxa" w:w="100"/>
            </w:tcMar>
          </w:tcPr>
          <w:p>
            <w:r>
              <w:rPr>
                <w:rFonts w:ascii="Calibri" w:cs="Calibri" w:eastAsia="Calibri" w:hAnsi="Calibri"/>
                <w:color w:val="1A1625"/>
                <w:sz w:val="19"/>
                <w:szCs w:val="19"/>
              </w:rPr>
              <w:t xml:space="preserve">Multi-threaded engagement recommended</w:t>
            </w:r>
          </w:p>
        </w:tc>
      </w:tr>
      <w:tr>
        <w:tc>
          <w:tcPr>
            <w:tcW w:type="dxa" w:w="1800"/>
            <w:shd w:fill="F3F1F8" w:val="clear"/>
            <w:tcMar>
              <w:top w:type="dxa" w:w="80"/>
              <w:left w:type="dxa" w:w="100"/>
              <w:bottom w:type="dxa" w:w="80"/>
              <w:right w:type="dxa" w:w="100"/>
            </w:tcMar>
          </w:tcPr>
          <w:p>
            <w:r>
              <w:rPr>
                <w:rFonts w:ascii="Calibri" w:cs="Calibri" w:eastAsia="Calibri" w:hAnsi="Calibri"/>
                <w:color w:val="1A1625"/>
                <w:sz w:val="19"/>
                <w:szCs w:val="19"/>
              </w:rPr>
              <w:t xml:space="preserve">Meeting booked</w:t>
            </w:r>
          </w:p>
        </w:tc>
        <w:tc>
          <w:tcPr>
            <w:tcW w:type="dxa" w:w="4200"/>
            <w:shd w:fill="F3F1F8" w:val="clear"/>
            <w:tcMar>
              <w:top w:type="dxa" w:w="80"/>
              <w:left w:type="dxa" w:w="100"/>
              <w:bottom w:type="dxa" w:w="80"/>
              <w:right w:type="dxa" w:w="100"/>
            </w:tcMar>
          </w:tcPr>
          <w:p>
            <w:r>
              <w:rPr>
                <w:rFonts w:ascii="Calibri" w:cs="Calibri" w:eastAsia="Calibri" w:hAnsi="Calibri"/>
                <w:color w:val="1A1625"/>
                <w:sz w:val="19"/>
                <w:szCs w:val="19"/>
              </w:rPr>
              <w:t xml:space="preserve">A call or demo is on the calendar</w:t>
            </w:r>
          </w:p>
        </w:tc>
        <w:tc>
          <w:tcPr>
            <w:tcW w:type="dxa" w:w="3350"/>
            <w:shd w:fill="F3F1F8" w:val="clear"/>
            <w:tcMar>
              <w:top w:type="dxa" w:w="80"/>
              <w:left w:type="dxa" w:w="100"/>
              <w:bottom w:type="dxa" w:w="80"/>
              <w:right w:type="dxa" w:w="100"/>
            </w:tcMar>
          </w:tcPr>
          <w:p>
            <w:r>
              <w:rPr>
                <w:rFonts w:ascii="Calibri" w:cs="Calibri" w:eastAsia="Calibri" w:hAnsi="Calibri"/>
                <w:color w:val="1A1625"/>
                <w:sz w:val="19"/>
                <w:szCs w:val="19"/>
              </w:rPr>
              <w:t xml:space="preserve">Benchmark: 15% average MQL-to-SQL conversion (Martal Group, 2026)</w:t>
            </w:r>
          </w:p>
        </w:tc>
      </w:tr>
      <w:tr>
        <w:tc>
          <w:tcPr>
            <w:tcW w:type="dxa" w:w="1800"/>
            <w:shd w:fill="FFFFFF" w:val="clear"/>
            <w:tcMar>
              <w:top w:type="dxa" w:w="80"/>
              <w:left w:type="dxa" w:w="100"/>
              <w:bottom w:type="dxa" w:w="80"/>
              <w:right w:type="dxa" w:w="100"/>
            </w:tcMar>
          </w:tcPr>
          <w:p>
            <w:r>
              <w:rPr>
                <w:rFonts w:ascii="Calibri" w:cs="Calibri" w:eastAsia="Calibri" w:hAnsi="Calibri"/>
                <w:color w:val="1A1625"/>
                <w:sz w:val="19"/>
                <w:szCs w:val="19"/>
              </w:rPr>
              <w:t xml:space="preserve">Opportunity</w:t>
            </w:r>
          </w:p>
        </w:tc>
        <w:tc>
          <w:tcPr>
            <w:tcW w:type="dxa" w:w="4200"/>
            <w:shd w:fill="FFFFFF" w:val="clear"/>
            <w:tcMar>
              <w:top w:type="dxa" w:w="80"/>
              <w:left w:type="dxa" w:w="100"/>
              <w:bottom w:type="dxa" w:w="80"/>
              <w:right w:type="dxa" w:w="100"/>
            </w:tcMar>
          </w:tcPr>
          <w:p>
            <w:r>
              <w:rPr>
                <w:rFonts w:ascii="Calibri" w:cs="Calibri" w:eastAsia="Calibri" w:hAnsi="Calibri"/>
                <w:color w:val="1A1625"/>
                <w:sz w:val="19"/>
                <w:szCs w:val="19"/>
              </w:rPr>
              <w:t xml:space="preserve">Formal evaluation with a named buying committee</w:t>
            </w:r>
          </w:p>
        </w:tc>
        <w:tc>
          <w:tcPr>
            <w:tcW w:type="dxa" w:w="3350"/>
            <w:shd w:fill="FFFFFF" w:val="clear"/>
            <w:tcMar>
              <w:top w:type="dxa" w:w="80"/>
              <w:left w:type="dxa" w:w="100"/>
              <w:bottom w:type="dxa" w:w="80"/>
              <w:right w:type="dxa" w:w="100"/>
            </w:tcMar>
          </w:tcPr>
          <w:p>
            <w:r>
              <w:rPr>
                <w:rFonts w:ascii="Calibri" w:cs="Calibri" w:eastAsia="Calibri" w:hAnsi="Calibri"/>
                <w:color w:val="1A1625"/>
                <w:sz w:val="19"/>
                <w:szCs w:val="19"/>
              </w:rPr>
              <w:t xml:space="preserve">Benchmark: 40–60% of qualified pipeline stalls at "no decision" without multi-threading (Prospeo, 2026)</w:t>
            </w:r>
          </w:p>
        </w:tc>
      </w:tr>
      <w:tr>
        <w:tc>
          <w:tcPr>
            <w:tcW w:type="dxa" w:w="1800"/>
            <w:shd w:fill="F3F1F8" w:val="clear"/>
            <w:tcMar>
              <w:top w:type="dxa" w:w="80"/>
              <w:left w:type="dxa" w:w="100"/>
              <w:bottom w:type="dxa" w:w="80"/>
              <w:right w:type="dxa" w:w="100"/>
            </w:tcMar>
          </w:tcPr>
          <w:p>
            <w:r>
              <w:rPr>
                <w:rFonts w:ascii="Calibri" w:cs="Calibri" w:eastAsia="Calibri" w:hAnsi="Calibri"/>
                <w:color w:val="1A1625"/>
                <w:sz w:val="19"/>
                <w:szCs w:val="19"/>
              </w:rPr>
              <w:t xml:space="preserve">Closed won</w:t>
            </w:r>
          </w:p>
        </w:tc>
        <w:tc>
          <w:tcPr>
            <w:tcW w:type="dxa" w:w="4200"/>
            <w:shd w:fill="F3F1F8" w:val="clear"/>
            <w:tcMar>
              <w:top w:type="dxa" w:w="80"/>
              <w:left w:type="dxa" w:w="100"/>
              <w:bottom w:type="dxa" w:w="80"/>
              <w:right w:type="dxa" w:w="100"/>
            </w:tcMar>
          </w:tcPr>
          <w:p>
            <w:r>
              <w:rPr>
                <w:rFonts w:ascii="Calibri" w:cs="Calibri" w:eastAsia="Calibri" w:hAnsi="Calibri"/>
                <w:color w:val="1A1625"/>
                <w:sz w:val="19"/>
                <w:szCs w:val="19"/>
              </w:rPr>
              <w:t xml:space="preserve">Contract signed</w:t>
            </w:r>
          </w:p>
        </w:tc>
        <w:tc>
          <w:tcPr>
            <w:tcW w:type="dxa" w:w="3350"/>
            <w:shd w:fill="F3F1F8" w:val="clear"/>
            <w:tcMar>
              <w:top w:type="dxa" w:w="80"/>
              <w:left w:type="dxa" w:w="100"/>
              <w:bottom w:type="dxa" w:w="80"/>
              <w:right w:type="dxa" w:w="100"/>
            </w:tcMar>
          </w:tcPr>
          <w:p>
            <w:r>
              <w:rPr>
                <w:rFonts w:ascii="Calibri" w:cs="Calibri" w:eastAsia="Calibri" w:hAnsi="Calibri"/>
                <w:color w:val="1A1625"/>
                <w:sz w:val="19"/>
                <w:szCs w:val="19"/>
              </w:rPr>
              <w:t xml:space="preserve">Benchmark: 2.9% median B2B lead-to-customer conversion rate across industries (Martal Group, 2026)</w:t>
            </w:r>
          </w:p>
        </w:tc>
      </w:tr>
    </w:tbl>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The benchmark column is industry context, shown for orientation. It should not be presented as Leadzen's guaranteed outcome for any customer. Replace the live counts in the actual pipeline widget with real, current numbers pulled from Leadzen's own instance, not the benchmark figures above.</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8. AI agents — ZEN, LENZ, and LENZ PRO</w:t>
      </w:r>
    </w:p>
    <w:p>
      <w:pPr>
        <w:spacing w:after="160" w:line="300"/>
      </w:pPr>
      <w:r>
        <w:rPr>
          <w:rFonts w:ascii="Calibri" w:cs="Calibri" w:eastAsia="Calibri" w:hAnsi="Calibri"/>
          <w:i w:val="false"/>
          <w:iCs w:val="false"/>
          <w:color w:val="1A1625"/>
          <w:sz w:val="21"/>
          <w:szCs w:val="21"/>
        </w:rPr>
        <w:t xml:space="preserve">Section eyebrow: Meet the agents</w:t>
      </w:r>
    </w:p>
    <w:p>
      <w:pPr>
        <w:spacing w:after="160" w:line="300"/>
      </w:pPr>
      <w:r>
        <w:rPr>
          <w:rFonts w:ascii="Calibri" w:cs="Calibri" w:eastAsia="Calibri" w:hAnsi="Calibri"/>
          <w:i w:val="false"/>
          <w:iCs w:val="false"/>
          <w:color w:val="1A1625"/>
          <w:sz w:val="21"/>
          <w:szCs w:val="21"/>
        </w:rPr>
        <w:t xml:space="preserve">Section heading: Three agents, one job each, working together</w:t>
      </w:r>
    </w:p>
    <w:p>
      <w:pPr>
        <w:spacing w:after="160" w:line="300"/>
      </w:pPr>
      <w:r>
        <w:rPr>
          <w:rFonts w:ascii="Calibri" w:cs="Calibri" w:eastAsia="Calibri" w:hAnsi="Calibri"/>
          <w:i w:val="false"/>
          <w:iCs w:val="false"/>
          <w:color w:val="1A1625"/>
          <w:sz w:val="21"/>
          <w:szCs w:val="21"/>
        </w:rPr>
        <w:t xml:space="preserve">This section maps to the feature grid already in the layout. Each agent gets a short identity, a job description in plain language, and three capability bullets. The three agents are shown as a progression (guide, then research, then orchestrate) rather than three unrelated tools bundled together.</w:t>
      </w:r>
    </w:p>
    <w:p>
      <w:pPr>
        <w:spacing w:after="80" w:before="220"/>
      </w:pPr>
      <w:r>
        <w:rPr>
          <w:rFonts w:ascii="Calibri" w:cs="Calibri" w:eastAsia="Calibri" w:hAnsi="Calibri"/>
          <w:b/>
          <w:bCs/>
          <w:color w:val="6D28D9"/>
          <w:sz w:val="22"/>
          <w:szCs w:val="22"/>
        </w:rPr>
        <w:t xml:space="preserve">ZEN — the guided-prospecting agent</w:t>
      </w:r>
    </w:p>
    <w:p>
      <w:pPr>
        <w:spacing w:after="160" w:line="300"/>
      </w:pPr>
      <w:r>
        <w:rPr>
          <w:rFonts w:ascii="Calibri" w:cs="Calibri" w:eastAsia="Calibri" w:hAnsi="Calibri"/>
          <w:i w:val="false"/>
          <w:iCs w:val="false"/>
          <w:color w:val="1A1625"/>
          <w:sz w:val="21"/>
          <w:szCs w:val="21"/>
        </w:rPr>
        <w:t xml:space="preserve">ZEN is the starting point for a new rep or a new market. It asks what "good" looks like for a given territory, builds the first search, and hands off a working list in minutes instead of a half-day of manual filtering.</w:t>
      </w:r>
    </w:p>
    <w:p>
      <w:pPr>
        <w:pStyle w:val="ListParagraph"/>
        <w:numPr>
          <w:ilvl w:val="0"/>
          <w:numId w:val="2"/>
        </w:numPr>
        <w:spacing w:after="100" w:line="290"/>
      </w:pPr>
      <w:r>
        <w:rPr>
          <w:rFonts w:ascii="Calibri" w:cs="Calibri" w:eastAsia="Calibri" w:hAnsi="Calibri"/>
          <w:color w:val="1A1625"/>
          <w:sz w:val="21"/>
          <w:szCs w:val="21"/>
        </w:rPr>
        <w:t xml:space="preserve">Conversational setup: describe the ideal customer in plain language, get a working search back</w:t>
      </w:r>
    </w:p>
    <w:p>
      <w:pPr>
        <w:pStyle w:val="ListParagraph"/>
        <w:numPr>
          <w:ilvl w:val="0"/>
          <w:numId w:val="2"/>
        </w:numPr>
        <w:spacing w:after="100" w:line="290"/>
      </w:pPr>
      <w:r>
        <w:rPr>
          <w:rFonts w:ascii="Calibri" w:cs="Calibri" w:eastAsia="Calibri" w:hAnsi="Calibri"/>
          <w:color w:val="1A1625"/>
          <w:sz w:val="21"/>
          <w:szCs w:val="21"/>
        </w:rPr>
        <w:t xml:space="preserve">Onboards new reps and new regional teams onto the same search logic</w:t>
      </w:r>
    </w:p>
    <w:p>
      <w:pPr>
        <w:pStyle w:val="ListParagraph"/>
        <w:numPr>
          <w:ilvl w:val="0"/>
          <w:numId w:val="2"/>
        </w:numPr>
        <w:spacing w:after="100" w:line="290"/>
      </w:pPr>
      <w:r>
        <w:rPr>
          <w:rFonts w:ascii="Calibri" w:cs="Calibri" w:eastAsia="Calibri" w:hAnsi="Calibri"/>
          <w:color w:val="1A1625"/>
          <w:sz w:val="21"/>
          <w:szCs w:val="21"/>
        </w:rPr>
        <w:t xml:space="preserve">Suggests adjacent segments a rep may not have considered, based on account-level signal</w:t>
      </w:r>
    </w:p>
    <w:p>
      <w:pPr>
        <w:spacing w:after="80" w:before="220"/>
      </w:pPr>
      <w:r>
        <w:rPr>
          <w:rFonts w:ascii="Calibri" w:cs="Calibri" w:eastAsia="Calibri" w:hAnsi="Calibri"/>
          <w:b/>
          <w:bCs/>
          <w:color w:val="6D28D9"/>
          <w:sz w:val="22"/>
          <w:szCs w:val="22"/>
        </w:rPr>
        <w:t xml:space="preserve">LENZ — the research and enrichment agent</w:t>
      </w:r>
    </w:p>
    <w:p>
      <w:pPr>
        <w:spacing w:after="160" w:line="300"/>
      </w:pPr>
      <w:r>
        <w:rPr>
          <w:rFonts w:ascii="Calibri" w:cs="Calibri" w:eastAsia="Calibri" w:hAnsi="Calibri"/>
          <w:i w:val="false"/>
          <w:iCs w:val="false"/>
          <w:color w:val="1A1625"/>
          <w:sz w:val="21"/>
          <w:szCs w:val="21"/>
        </w:rPr>
        <w:t xml:space="preserve">LENZ runs continuously in the background, keeping contact and account records current so a list built in January is still accurate in June. It is the direct product answer to the 30% annual data-decay problem.</w:t>
      </w:r>
    </w:p>
    <w:p>
      <w:pPr>
        <w:pStyle w:val="ListParagraph"/>
        <w:numPr>
          <w:ilvl w:val="0"/>
          <w:numId w:val="2"/>
        </w:numPr>
        <w:spacing w:after="100" w:line="290"/>
      </w:pPr>
      <w:r>
        <w:rPr>
          <w:rFonts w:ascii="Calibri" w:cs="Calibri" w:eastAsia="Calibri" w:hAnsi="Calibri"/>
          <w:color w:val="1A1625"/>
          <w:sz w:val="21"/>
          <w:szCs w:val="21"/>
        </w:rPr>
        <w:t xml:space="preserve">Continuous, waterfall-verified contact enrichment</w:t>
      </w:r>
    </w:p>
    <w:p>
      <w:pPr>
        <w:pStyle w:val="ListParagraph"/>
        <w:numPr>
          <w:ilvl w:val="0"/>
          <w:numId w:val="2"/>
        </w:numPr>
        <w:spacing w:after="100" w:line="290"/>
      </w:pPr>
      <w:r>
        <w:rPr>
          <w:rFonts w:ascii="Calibri" w:cs="Calibri" w:eastAsia="Calibri" w:hAnsi="Calibri"/>
          <w:color w:val="1A1625"/>
          <w:sz w:val="21"/>
          <w:szCs w:val="21"/>
        </w:rPr>
        <w:t xml:space="preserve">Buying-intent monitoring at the account level</w:t>
      </w:r>
    </w:p>
    <w:p>
      <w:pPr>
        <w:pStyle w:val="ListParagraph"/>
        <w:numPr>
          <w:ilvl w:val="0"/>
          <w:numId w:val="2"/>
        </w:numPr>
        <w:spacing w:after="100" w:line="290"/>
      </w:pPr>
      <w:r>
        <w:rPr>
          <w:rFonts w:ascii="Calibri" w:cs="Calibri" w:eastAsia="Calibri" w:hAnsi="Calibri"/>
          <w:color w:val="1A1625"/>
          <w:sz w:val="21"/>
          <w:szCs w:val="21"/>
        </w:rPr>
        <w:t xml:space="preserve">Flags org-chart changes and role transitions inside tracked accounts</w:t>
      </w:r>
    </w:p>
    <w:p>
      <w:pPr>
        <w:spacing w:after="80" w:before="220"/>
      </w:pPr>
      <w:r>
        <w:rPr>
          <w:rFonts w:ascii="Calibri" w:cs="Calibri" w:eastAsia="Calibri" w:hAnsi="Calibri"/>
          <w:b/>
          <w:bCs/>
          <w:color w:val="6D28D9"/>
          <w:sz w:val="22"/>
          <w:szCs w:val="22"/>
        </w:rPr>
        <w:t xml:space="preserve">LENZ PRO — the outbound orchestration agent</w:t>
      </w:r>
    </w:p>
    <w:p>
      <w:pPr>
        <w:spacing w:after="160" w:line="300"/>
      </w:pPr>
      <w:r>
        <w:rPr>
          <w:rFonts w:ascii="Calibri" w:cs="Calibri" w:eastAsia="Calibri" w:hAnsi="Calibri"/>
          <w:i w:val="false"/>
          <w:iCs w:val="false"/>
          <w:color w:val="1A1625"/>
          <w:sz w:val="21"/>
          <w:szCs w:val="21"/>
        </w:rPr>
        <w:t xml:space="preserve">LENZ PRO takes a mapped buying committee and runs multi-threaded, multi-channel outreach across it, adjusting cadence based on who engages and how, rather than firing the same sequence at every contact regardless of signal.</w:t>
      </w:r>
    </w:p>
    <w:p>
      <w:pPr>
        <w:pStyle w:val="ListParagraph"/>
        <w:numPr>
          <w:ilvl w:val="0"/>
          <w:numId w:val="2"/>
        </w:numPr>
        <w:spacing w:after="100" w:line="290"/>
      </w:pPr>
      <w:r>
        <w:rPr>
          <w:rFonts w:ascii="Calibri" w:cs="Calibri" w:eastAsia="Calibri" w:hAnsi="Calibri"/>
          <w:color w:val="1A1625"/>
          <w:sz w:val="21"/>
          <w:szCs w:val="21"/>
        </w:rPr>
        <w:t xml:space="preserve">Multi-threaded sequencing across an entire buying committee, not one contact at a time</w:t>
      </w:r>
    </w:p>
    <w:p>
      <w:pPr>
        <w:pStyle w:val="ListParagraph"/>
        <w:numPr>
          <w:ilvl w:val="0"/>
          <w:numId w:val="2"/>
        </w:numPr>
        <w:spacing w:after="100" w:line="290"/>
      </w:pPr>
      <w:r>
        <w:rPr>
          <w:rFonts w:ascii="Calibri" w:cs="Calibri" w:eastAsia="Calibri" w:hAnsi="Calibri"/>
          <w:color w:val="1A1625"/>
          <w:sz w:val="21"/>
          <w:szCs w:val="21"/>
        </w:rPr>
        <w:t xml:space="preserve">Channel selection by region and by contact behavior (email, LinkedIn, WhatsApp)</w:t>
      </w:r>
    </w:p>
    <w:p>
      <w:pPr>
        <w:pStyle w:val="ListParagraph"/>
        <w:numPr>
          <w:ilvl w:val="0"/>
          <w:numId w:val="2"/>
        </w:numPr>
        <w:spacing w:after="100" w:line="290"/>
      </w:pPr>
      <w:r>
        <w:rPr>
          <w:rFonts w:ascii="Calibri" w:cs="Calibri" w:eastAsia="Calibri" w:hAnsi="Calibri"/>
          <w:color w:val="1A1625"/>
          <w:sz w:val="21"/>
          <w:szCs w:val="21"/>
        </w:rPr>
        <w:t xml:space="preserve">Cadence adjusts automatically based on opens, replies, and intent signal</w:t>
      </w:r>
    </w:p>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Naming note: ZEN, LENZ, and LENZ PRO are used here exactly as already established in Leadzen's brand and product-naming work. No new persona names have been introduced.</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9. Compare section — Leadzen vs. the stitched-together stack</w:t>
      </w:r>
    </w:p>
    <w:p>
      <w:pPr>
        <w:spacing w:after="160" w:line="300"/>
      </w:pPr>
      <w:r>
        <w:rPr>
          <w:rFonts w:ascii="Calibri" w:cs="Calibri" w:eastAsia="Calibri" w:hAnsi="Calibri"/>
          <w:i w:val="false"/>
          <w:iCs w:val="false"/>
          <w:color w:val="1A1625"/>
          <w:sz w:val="21"/>
          <w:szCs w:val="21"/>
        </w:rPr>
        <w:t xml:space="preserve">Section eyebrow: Why one platform beats five subscriptions</w:t>
      </w:r>
    </w:p>
    <w:p>
      <w:pPr>
        <w:spacing w:after="160" w:line="300"/>
      </w:pPr>
      <w:r>
        <w:rPr>
          <w:rFonts w:ascii="Calibri" w:cs="Calibri" w:eastAsia="Calibri" w:hAnsi="Calibri"/>
          <w:i w:val="false"/>
          <w:iCs w:val="false"/>
          <w:color w:val="1A1625"/>
          <w:sz w:val="21"/>
          <w:szCs w:val="21"/>
        </w:rPr>
        <w:t xml:space="preserve">Section heading: What teams replace when they move to Leadzen</w:t>
      </w:r>
    </w:p>
    <w:p>
      <w:pPr>
        <w:spacing w:after="160" w:line="300"/>
      </w:pPr>
      <w:r>
        <w:rPr>
          <w:rFonts w:ascii="Calibri" w:cs="Calibri" w:eastAsia="Calibri" w:hAnsi="Calibri"/>
          <w:i w:val="false"/>
          <w:iCs w:val="false"/>
          <w:color w:val="1A1625"/>
          <w:sz w:val="21"/>
          <w:szCs w:val="21"/>
        </w:rPr>
        <w:t xml:space="preserve">Framed around a real, documented industry trend: organizations are actively consolidating from eight to twelve point solutions down to four to six platforms (Prospeo, 2026 sales-intelligence market synthesis). The comparison table below reflects that consolidation logic rather than naming specific competitors.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Dimension</w:t>
            </w:r>
          </w:p>
        </w:tc>
        <w:tc>
          <w:tcPr>
            <w:tcW w:type="dxa" w:w="340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Typical stitched-together stack</w:t>
            </w:r>
          </w:p>
        </w:tc>
        <w:tc>
          <w:tcPr>
            <w:tcW w:type="dxa" w:w="335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Leadzen.ai</w:t>
            </w:r>
          </w:p>
        </w:tc>
      </w:tr>
      <w:tr>
        <w:tc>
          <w:tcPr>
            <w:tcW w:type="dxa" w:w="2600"/>
            <w:shd w:fill="FFFFFF" w:val="clear"/>
            <w:tcMar>
              <w:top w:type="dxa" w:w="80"/>
              <w:left w:type="dxa" w:w="100"/>
              <w:bottom w:type="dxa" w:w="80"/>
              <w:right w:type="dxa" w:w="100"/>
            </w:tcMar>
          </w:tcPr>
          <w:p>
            <w:r>
              <w:rPr>
                <w:rFonts w:ascii="Calibri" w:cs="Calibri" w:eastAsia="Calibri" w:hAnsi="Calibri"/>
                <w:color w:val="1A1625"/>
                <w:sz w:val="19"/>
                <w:szCs w:val="19"/>
              </w:rPr>
              <w:t xml:space="preserve">Data freshness</w:t>
            </w:r>
          </w:p>
        </w:tc>
        <w:tc>
          <w:tcPr>
            <w:tcW w:type="dxa" w:w="3400"/>
            <w:shd w:fill="FFFFFF" w:val="clear"/>
            <w:tcMar>
              <w:top w:type="dxa" w:w="80"/>
              <w:left w:type="dxa" w:w="100"/>
              <w:bottom w:type="dxa" w:w="80"/>
              <w:right w:type="dxa" w:w="100"/>
            </w:tcMar>
          </w:tcPr>
          <w:p>
            <w:r>
              <w:rPr>
                <w:rFonts w:ascii="Calibri" w:cs="Calibri" w:eastAsia="Calibri" w:hAnsi="Calibri"/>
                <w:color w:val="1A1625"/>
                <w:sz w:val="19"/>
                <w:szCs w:val="19"/>
              </w:rPr>
              <w:t xml:space="preserve">Static export, manually re-run</w:t>
            </w:r>
          </w:p>
        </w:tc>
        <w:tc>
          <w:tcPr>
            <w:tcW w:type="dxa" w:w="3350"/>
            <w:shd w:fill="FFFFFF" w:val="clear"/>
            <w:tcMar>
              <w:top w:type="dxa" w:w="80"/>
              <w:left w:type="dxa" w:w="100"/>
              <w:bottom w:type="dxa" w:w="80"/>
              <w:right w:type="dxa" w:w="100"/>
            </w:tcMar>
          </w:tcPr>
          <w:p>
            <w:r>
              <w:rPr>
                <w:rFonts w:ascii="Calibri" w:cs="Calibri" w:eastAsia="Calibri" w:hAnsi="Calibri"/>
                <w:color w:val="1A1625"/>
                <w:sz w:val="19"/>
                <w:szCs w:val="19"/>
              </w:rPr>
              <w:t xml:space="preserve">Continuous background refresh (LENZ)</w:t>
            </w:r>
          </w:p>
        </w:tc>
      </w:tr>
      <w:tr>
        <w:tc>
          <w:tcPr>
            <w:tcW w:type="dxa" w:w="2600"/>
            <w:shd w:fill="F3F1F8" w:val="clear"/>
            <w:tcMar>
              <w:top w:type="dxa" w:w="80"/>
              <w:left w:type="dxa" w:w="100"/>
              <w:bottom w:type="dxa" w:w="80"/>
              <w:right w:type="dxa" w:w="100"/>
            </w:tcMar>
          </w:tcPr>
          <w:p>
            <w:r>
              <w:rPr>
                <w:rFonts w:ascii="Calibri" w:cs="Calibri" w:eastAsia="Calibri" w:hAnsi="Calibri"/>
                <w:color w:val="1A1625"/>
                <w:sz w:val="19"/>
                <w:szCs w:val="19"/>
              </w:rPr>
              <w:t xml:space="preserve">Buying-committee coverage</w:t>
            </w:r>
          </w:p>
        </w:tc>
        <w:tc>
          <w:tcPr>
            <w:tcW w:type="dxa" w:w="3400"/>
            <w:shd w:fill="F3F1F8" w:val="clear"/>
            <w:tcMar>
              <w:top w:type="dxa" w:w="80"/>
              <w:left w:type="dxa" w:w="100"/>
              <w:bottom w:type="dxa" w:w="80"/>
              <w:right w:type="dxa" w:w="100"/>
            </w:tcMar>
          </w:tcPr>
          <w:p>
            <w:r>
              <w:rPr>
                <w:rFonts w:ascii="Calibri" w:cs="Calibri" w:eastAsia="Calibri" w:hAnsi="Calibri"/>
                <w:color w:val="1A1625"/>
                <w:sz w:val="19"/>
                <w:szCs w:val="19"/>
              </w:rPr>
              <w:t xml:space="preserve">One contact per account, manually found</w:t>
            </w:r>
          </w:p>
        </w:tc>
        <w:tc>
          <w:tcPr>
            <w:tcW w:type="dxa" w:w="3350"/>
            <w:shd w:fill="F3F1F8" w:val="clear"/>
            <w:tcMar>
              <w:top w:type="dxa" w:w="80"/>
              <w:left w:type="dxa" w:w="100"/>
              <w:bottom w:type="dxa" w:w="80"/>
              <w:right w:type="dxa" w:w="100"/>
            </w:tcMar>
          </w:tcPr>
          <w:p>
            <w:r>
              <w:rPr>
                <w:rFonts w:ascii="Calibri" w:cs="Calibri" w:eastAsia="Calibri" w:hAnsi="Calibri"/>
                <w:color w:val="1A1625"/>
                <w:sz w:val="19"/>
                <w:szCs w:val="19"/>
              </w:rPr>
              <w:t xml:space="preserve">Multi-threaded mapping and outreach (LENZ PRO)</w:t>
            </w:r>
          </w:p>
        </w:tc>
      </w:tr>
      <w:tr>
        <w:tc>
          <w:tcPr>
            <w:tcW w:type="dxa" w:w="2600"/>
            <w:shd w:fill="FFFFFF" w:val="clear"/>
            <w:tcMar>
              <w:top w:type="dxa" w:w="80"/>
              <w:left w:type="dxa" w:w="100"/>
              <w:bottom w:type="dxa" w:w="80"/>
              <w:right w:type="dxa" w:w="100"/>
            </w:tcMar>
          </w:tcPr>
          <w:p>
            <w:r>
              <w:rPr>
                <w:rFonts w:ascii="Calibri" w:cs="Calibri" w:eastAsia="Calibri" w:hAnsi="Calibri"/>
                <w:color w:val="1A1625"/>
                <w:sz w:val="19"/>
                <w:szCs w:val="19"/>
              </w:rPr>
              <w:t xml:space="preserve">Channels</w:t>
            </w:r>
          </w:p>
        </w:tc>
        <w:tc>
          <w:tcPr>
            <w:tcW w:type="dxa" w:w="3400"/>
            <w:shd w:fill="FFFFFF" w:val="clear"/>
            <w:tcMar>
              <w:top w:type="dxa" w:w="80"/>
              <w:left w:type="dxa" w:w="100"/>
              <w:bottom w:type="dxa" w:w="80"/>
              <w:right w:type="dxa" w:w="100"/>
            </w:tcMar>
          </w:tcPr>
          <w:p>
            <w:r>
              <w:rPr>
                <w:rFonts w:ascii="Calibri" w:cs="Calibri" w:eastAsia="Calibri" w:hAnsi="Calibri"/>
                <w:color w:val="1A1625"/>
                <w:sz w:val="19"/>
                <w:szCs w:val="19"/>
              </w:rPr>
              <w:t xml:space="preserve">Email only, or a separate tool per channel</w:t>
            </w:r>
          </w:p>
        </w:tc>
        <w:tc>
          <w:tcPr>
            <w:tcW w:type="dxa" w:w="3350"/>
            <w:shd w:fill="FFFFFF" w:val="clear"/>
            <w:tcMar>
              <w:top w:type="dxa" w:w="80"/>
              <w:left w:type="dxa" w:w="100"/>
              <w:bottom w:type="dxa" w:w="80"/>
              <w:right w:type="dxa" w:w="100"/>
            </w:tcMar>
          </w:tcPr>
          <w:p>
            <w:r>
              <w:rPr>
                <w:rFonts w:ascii="Calibri" w:cs="Calibri" w:eastAsia="Calibri" w:hAnsi="Calibri"/>
                <w:color w:val="1A1625"/>
                <w:sz w:val="19"/>
                <w:szCs w:val="19"/>
              </w:rPr>
              <w:t xml:space="preserve">Email, LinkedIn, and WhatsApp from one queue</w:t>
            </w:r>
          </w:p>
        </w:tc>
      </w:tr>
      <w:tr>
        <w:tc>
          <w:tcPr>
            <w:tcW w:type="dxa" w:w="2600"/>
            <w:shd w:fill="F3F1F8" w:val="clear"/>
            <w:tcMar>
              <w:top w:type="dxa" w:w="80"/>
              <w:left w:type="dxa" w:w="100"/>
              <w:bottom w:type="dxa" w:w="80"/>
              <w:right w:type="dxa" w:w="100"/>
            </w:tcMar>
          </w:tcPr>
          <w:p>
            <w:r>
              <w:rPr>
                <w:rFonts w:ascii="Calibri" w:cs="Calibri" w:eastAsia="Calibri" w:hAnsi="Calibri"/>
                <w:color w:val="1A1625"/>
                <w:sz w:val="19"/>
                <w:szCs w:val="19"/>
              </w:rPr>
              <w:t xml:space="preserve">Global send timing</w:t>
            </w:r>
          </w:p>
        </w:tc>
        <w:tc>
          <w:tcPr>
            <w:tcW w:type="dxa" w:w="3400"/>
            <w:shd w:fill="F3F1F8" w:val="clear"/>
            <w:tcMar>
              <w:top w:type="dxa" w:w="80"/>
              <w:left w:type="dxa" w:w="100"/>
              <w:bottom w:type="dxa" w:w="80"/>
              <w:right w:type="dxa" w:w="100"/>
            </w:tcMar>
          </w:tcPr>
          <w:p>
            <w:r>
              <w:rPr>
                <w:rFonts w:ascii="Calibri" w:cs="Calibri" w:eastAsia="Calibri" w:hAnsi="Calibri"/>
                <w:color w:val="1A1625"/>
                <w:sz w:val="19"/>
                <w:szCs w:val="19"/>
              </w:rPr>
              <w:t xml:space="preserve">Sender's timezone by default</w:t>
            </w:r>
          </w:p>
        </w:tc>
        <w:tc>
          <w:tcPr>
            <w:tcW w:type="dxa" w:w="3350"/>
            <w:shd w:fill="F3F1F8" w:val="clear"/>
            <w:tcMar>
              <w:top w:type="dxa" w:w="80"/>
              <w:left w:type="dxa" w:w="100"/>
              <w:bottom w:type="dxa" w:w="80"/>
              <w:right w:type="dxa" w:w="100"/>
            </w:tcMar>
          </w:tcPr>
          <w:p>
            <w:r>
              <w:rPr>
                <w:rFonts w:ascii="Calibri" w:cs="Calibri" w:eastAsia="Calibri" w:hAnsi="Calibri"/>
                <w:color w:val="1A1625"/>
                <w:sz w:val="19"/>
                <w:szCs w:val="19"/>
              </w:rPr>
              <w:t xml:space="preserve">Recipient-timezone-aware scheduling</w:t>
            </w:r>
          </w:p>
        </w:tc>
      </w:tr>
      <w:tr>
        <w:tc>
          <w:tcPr>
            <w:tcW w:type="dxa" w:w="2600"/>
            <w:shd w:fill="FFFFFF" w:val="clear"/>
            <w:tcMar>
              <w:top w:type="dxa" w:w="80"/>
              <w:left w:type="dxa" w:w="100"/>
              <w:bottom w:type="dxa" w:w="80"/>
              <w:right w:type="dxa" w:w="100"/>
            </w:tcMar>
          </w:tcPr>
          <w:p>
            <w:r>
              <w:rPr>
                <w:rFonts w:ascii="Calibri" w:cs="Calibri" w:eastAsia="Calibri" w:hAnsi="Calibri"/>
                <w:color w:val="1A1625"/>
                <w:sz w:val="19"/>
                <w:szCs w:val="19"/>
              </w:rPr>
              <w:t xml:space="preserve">Setup for a new rep or region</w:t>
            </w:r>
          </w:p>
        </w:tc>
        <w:tc>
          <w:tcPr>
            <w:tcW w:type="dxa" w:w="3400"/>
            <w:shd w:fill="FFFFFF" w:val="clear"/>
            <w:tcMar>
              <w:top w:type="dxa" w:w="80"/>
              <w:left w:type="dxa" w:w="100"/>
              <w:bottom w:type="dxa" w:w="80"/>
              <w:right w:type="dxa" w:w="100"/>
            </w:tcMar>
          </w:tcPr>
          <w:p>
            <w:r>
              <w:rPr>
                <w:rFonts w:ascii="Calibri" w:cs="Calibri" w:eastAsia="Calibri" w:hAnsi="Calibri"/>
                <w:color w:val="1A1625"/>
                <w:sz w:val="19"/>
                <w:szCs w:val="19"/>
              </w:rPr>
              <w:t xml:space="preserve">Manual, tribal-knowledge dependent</w:t>
            </w:r>
          </w:p>
        </w:tc>
        <w:tc>
          <w:tcPr>
            <w:tcW w:type="dxa" w:w="3350"/>
            <w:shd w:fill="FFFFFF" w:val="clear"/>
            <w:tcMar>
              <w:top w:type="dxa" w:w="80"/>
              <w:left w:type="dxa" w:w="100"/>
              <w:bottom w:type="dxa" w:w="80"/>
              <w:right w:type="dxa" w:w="100"/>
            </w:tcMar>
          </w:tcPr>
          <w:p>
            <w:r>
              <w:rPr>
                <w:rFonts w:ascii="Calibri" w:cs="Calibri" w:eastAsia="Calibri" w:hAnsi="Calibri"/>
                <w:color w:val="1A1625"/>
                <w:sz w:val="19"/>
                <w:szCs w:val="19"/>
              </w:rPr>
              <w:t xml:space="preserve">Guided by ZEN in a single session</w:t>
            </w:r>
          </w:p>
        </w:tc>
      </w:tr>
      <w:tr>
        <w:tc>
          <w:tcPr>
            <w:tcW w:type="dxa" w:w="2600"/>
            <w:shd w:fill="F3F1F8" w:val="clear"/>
            <w:tcMar>
              <w:top w:type="dxa" w:w="80"/>
              <w:left w:type="dxa" w:w="100"/>
              <w:bottom w:type="dxa" w:w="80"/>
              <w:right w:type="dxa" w:w="100"/>
            </w:tcMar>
          </w:tcPr>
          <w:p>
            <w:r>
              <w:rPr>
                <w:rFonts w:ascii="Calibri" w:cs="Calibri" w:eastAsia="Calibri" w:hAnsi="Calibri"/>
                <w:color w:val="1A1625"/>
                <w:sz w:val="19"/>
                <w:szCs w:val="19"/>
              </w:rPr>
              <w:t xml:space="preserve">Where pipeline lives</w:t>
            </w:r>
          </w:p>
        </w:tc>
        <w:tc>
          <w:tcPr>
            <w:tcW w:type="dxa" w:w="3400"/>
            <w:shd w:fill="F3F1F8" w:val="clear"/>
            <w:tcMar>
              <w:top w:type="dxa" w:w="80"/>
              <w:left w:type="dxa" w:w="100"/>
              <w:bottom w:type="dxa" w:w="80"/>
              <w:right w:type="dxa" w:w="100"/>
            </w:tcMar>
          </w:tcPr>
          <w:p>
            <w:r>
              <w:rPr>
                <w:rFonts w:ascii="Calibri" w:cs="Calibri" w:eastAsia="Calibri" w:hAnsi="Calibri"/>
                <w:color w:val="1A1625"/>
                <w:sz w:val="19"/>
                <w:szCs w:val="19"/>
              </w:rPr>
              <w:t xml:space="preserve">Split across a CRM, a spreadsheet, and a BI tool</w:t>
            </w:r>
          </w:p>
        </w:tc>
        <w:tc>
          <w:tcPr>
            <w:tcW w:type="dxa" w:w="3350"/>
            <w:shd w:fill="F3F1F8" w:val="clear"/>
            <w:tcMar>
              <w:top w:type="dxa" w:w="80"/>
              <w:left w:type="dxa" w:w="100"/>
              <w:bottom w:type="dxa" w:w="80"/>
              <w:right w:type="dxa" w:w="100"/>
            </w:tcMar>
          </w:tcPr>
          <w:p>
            <w:r>
              <w:rPr>
                <w:rFonts w:ascii="Calibri" w:cs="Calibri" w:eastAsia="Calibri" w:hAnsi="Calibri"/>
                <w:color w:val="1A1625"/>
                <w:sz w:val="19"/>
                <w:szCs w:val="19"/>
              </w:rPr>
              <w:t xml:space="preserve">One analytics view (Analyze)</w:t>
            </w:r>
          </w:p>
        </w:tc>
      </w:tr>
    </w:tbl>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10. Global results &amp; stats section</w:t>
      </w:r>
    </w:p>
    <w:p>
      <w:pPr>
        <w:spacing w:after="160" w:line="300"/>
      </w:pPr>
      <w:r>
        <w:rPr>
          <w:rFonts w:ascii="Calibri" w:cs="Calibri" w:eastAsia="Calibri" w:hAnsi="Calibri"/>
          <w:i w:val="false"/>
          <w:iCs w:val="false"/>
          <w:color w:val="1A1625"/>
          <w:sz w:val="21"/>
          <w:szCs w:val="21"/>
        </w:rPr>
        <w:t xml:space="preserve">Section eyebrow: The numbers behind global selling</w:t>
      </w:r>
    </w:p>
    <w:p>
      <w:pPr>
        <w:spacing w:after="160" w:line="300"/>
      </w:pPr>
      <w:r>
        <w:rPr>
          <w:rFonts w:ascii="Calibri" w:cs="Calibri" w:eastAsia="Calibri" w:hAnsi="Calibri"/>
          <w:i w:val="false"/>
          <w:iCs w:val="false"/>
          <w:color w:val="1A1625"/>
          <w:sz w:val="21"/>
          <w:szCs w:val="21"/>
        </w:rPr>
        <w:t xml:space="preserve">Section heading: What changes when the data is right</w:t>
      </w:r>
    </w:p>
    <w:p>
      <w:pPr>
        <w:spacing w:after="160" w:line="300"/>
      </w:pPr>
      <w:r>
        <w:rPr>
          <w:rFonts w:ascii="Calibri" w:cs="Calibri" w:eastAsia="Calibri" w:hAnsi="Calibri"/>
          <w:i w:val="false"/>
          <w:iCs w:val="false"/>
          <w:color w:val="1A1625"/>
          <w:sz w:val="21"/>
          <w:szCs w:val="21"/>
        </w:rPr>
        <w:t xml:space="preserve">This section carries the highest scrutiny risk on the page because stat sections are exactly where an unverified number gets published by accident. Two groups of stats are shown below: market-benchmark stats that can be published as-is with their citation, and Leadzen-outcome stats that must be filled in with verified figures before publishing.</w:t>
      </w:r>
    </w:p>
    <w:p>
      <w:pPr>
        <w:spacing w:after="80" w:before="220"/>
      </w:pPr>
      <w:r>
        <w:rPr>
          <w:rFonts w:ascii="Calibri" w:cs="Calibri" w:eastAsia="Calibri" w:hAnsi="Calibri"/>
          <w:b/>
          <w:bCs/>
          <w:color w:val="6D28D9"/>
          <w:sz w:val="22"/>
          <w:szCs w:val="22"/>
        </w:rPr>
        <w:t xml:space="preserve">Market-benchmark stats — safe to publish with citation shown</w:t>
      </w:r>
    </w:p>
    <w:p>
      <w:pPr>
        <w:spacing w:after="40"/>
      </w:pPr>
      <w:r>
        <w:rPr>
          <w:rFonts w:ascii="Calibri" w:cs="Calibri" w:eastAsia="Calibri" w:hAnsi="Calibri"/>
          <w:b/>
          <w:bCs/>
          <w:color w:val="6D28D9"/>
          <w:sz w:val="30"/>
          <w:szCs w:val="30"/>
        </w:rPr>
        <w:t xml:space="preserve">34%  </w:t>
      </w:r>
      <w:r>
        <w:rPr>
          <w:rFonts w:ascii="Calibri" w:cs="Calibri" w:eastAsia="Calibri" w:hAnsi="Calibri"/>
          <w:color w:val="5B5568"/>
          <w:sz w:val="18"/>
          <w:szCs w:val="18"/>
        </w:rPr>
        <w:t xml:space="preserve">average increase in deal size reported by companies using sales intelligence tools (WifiTalents, B2B Sales Intelligence Industry Data 2026)</w:t>
      </w:r>
    </w:p>
    <w:p>
      <w:pPr>
        <w:spacing w:after="40"/>
      </w:pPr>
      <w:r>
        <w:rPr>
          <w:rFonts w:ascii="Calibri" w:cs="Calibri" w:eastAsia="Calibri" w:hAnsi="Calibri"/>
          <w:b/>
          <w:bCs/>
          <w:color w:val="6D28D9"/>
          <w:sz w:val="30"/>
          <w:szCs w:val="30"/>
        </w:rPr>
        <w:t xml:space="preserve">27%  </w:t>
      </w:r>
      <w:r>
        <w:rPr>
          <w:rFonts w:ascii="Calibri" w:cs="Calibri" w:eastAsia="Calibri" w:hAnsi="Calibri"/>
          <w:color w:val="5B5568"/>
          <w:sz w:val="18"/>
          <w:szCs w:val="18"/>
        </w:rPr>
        <w:t xml:space="preserve">average sales-productivity increase from sales intelligence tool adoption (WifiTalents, B2B Sales Intelligence Industry Data 2026)</w:t>
      </w:r>
    </w:p>
    <w:p>
      <w:pPr>
        <w:spacing w:after="40"/>
      </w:pPr>
      <w:r>
        <w:rPr>
          <w:rFonts w:ascii="Calibri" w:cs="Calibri" w:eastAsia="Calibri" w:hAnsi="Calibri"/>
          <w:b/>
          <w:bCs/>
          <w:color w:val="6D28D9"/>
          <w:sz w:val="30"/>
          <w:szCs w:val="30"/>
        </w:rPr>
        <w:t xml:space="preserve">6x  </w:t>
      </w:r>
      <w:r>
        <w:rPr>
          <w:rFonts w:ascii="Calibri" w:cs="Calibri" w:eastAsia="Calibri" w:hAnsi="Calibri"/>
          <w:color w:val="5B5568"/>
          <w:sz w:val="18"/>
          <w:szCs w:val="18"/>
        </w:rPr>
        <w:t xml:space="preserve">higher transaction rate for personalized outreach versus generic outreach (WifiTalents, B2B Sales Intelligence Industry Data 2026)</w:t>
      </w:r>
    </w:p>
    <w:p>
      <w:pPr>
        <w:spacing w:after="40"/>
      </w:pPr>
      <w:r>
        <w:rPr>
          <w:rFonts w:ascii="Calibri" w:cs="Calibri" w:eastAsia="Calibri" w:hAnsi="Calibri"/>
          <w:b/>
          <w:bCs/>
          <w:color w:val="6D28D9"/>
          <w:sz w:val="30"/>
          <w:szCs w:val="30"/>
        </w:rPr>
        <w:t xml:space="preserve">2–3x  </w:t>
      </w:r>
      <w:r>
        <w:rPr>
          <w:rFonts w:ascii="Calibri" w:cs="Calibri" w:eastAsia="Calibri" w:hAnsi="Calibri"/>
          <w:color w:val="5B5568"/>
          <w:sz w:val="18"/>
          <w:szCs w:val="18"/>
        </w:rPr>
        <w:t xml:space="preserve">higher close rate for multi-threaded outreach (3-plus stakeholders engaged in parallel) versus single-threaded outreach (Prospeo, 2026 decision-making synthesis)</w:t>
      </w:r>
    </w:p>
    <w:p>
      <w:pPr>
        <w:spacing w:after="80" w:before="220"/>
      </w:pPr>
      <w:r>
        <w:rPr>
          <w:rFonts w:ascii="Calibri" w:cs="Calibri" w:eastAsia="Calibri" w:hAnsi="Calibri"/>
          <w:b/>
          <w:bCs/>
          <w:color w:val="6D28D9"/>
          <w:sz w:val="22"/>
          <w:szCs w:val="22"/>
        </w:rPr>
        <w:t xml:space="preserve">Leadzen-outcome stats — placeholders, must be verified before publishing</w:t>
      </w:r>
    </w:p>
    <w:p>
      <w:pPr>
        <w:spacing w:after="140" w:line="290"/>
      </w:pPr>
      <w:r>
        <w:rPr>
          <w:rFonts w:ascii="Calibri" w:cs="Calibri" w:eastAsia="Calibri" w:hAnsi="Calibri"/>
          <w:b/>
          <w:bCs/>
          <w:color w:val="0E7490"/>
          <w:sz w:val="21"/>
          <w:szCs w:val="21"/>
        </w:rPr>
        <w:t xml:space="preserve">[ [X]M verified contacts, refreshed every [X] days ]</w:t>
      </w:r>
    </w:p>
    <w:p>
      <w:pPr>
        <w:spacing w:after="140" w:line="290"/>
      </w:pPr>
      <w:r>
        <w:rPr>
          <w:rFonts w:ascii="Calibri" w:cs="Calibri" w:eastAsia="Calibri" w:hAnsi="Calibri"/>
          <w:b/>
          <w:bCs/>
          <w:color w:val="0E7490"/>
          <w:sz w:val="21"/>
          <w:szCs w:val="21"/>
        </w:rPr>
        <w:t xml:space="preserve">[ [X] countries with active customer accounts ]</w:t>
      </w:r>
    </w:p>
    <w:p>
      <w:pPr>
        <w:spacing w:after="140" w:line="290"/>
      </w:pPr>
      <w:r>
        <w:rPr>
          <w:rFonts w:ascii="Calibri" w:cs="Calibri" w:eastAsia="Calibri" w:hAnsi="Calibri"/>
          <w:b/>
          <w:bCs/>
          <w:color w:val="0E7490"/>
          <w:sz w:val="21"/>
          <w:szCs w:val="21"/>
        </w:rPr>
        <w:t xml:space="preserve">[ [X]% average increase in meetings booked, reported by customers over [X] months (only if this has been measured and can be shown to a customer if asked) ]</w:t>
      </w:r>
    </w:p>
    <w:p>
      <w:pPr>
        <w:spacing w:after="140" w:line="290"/>
      </w:pPr>
      <w:r>
        <w:rPr>
          <w:rFonts w:ascii="Calibri" w:cs="Calibri" w:eastAsia="Calibri" w:hAnsi="Calibri"/>
          <w:b/>
          <w:bCs/>
          <w:color w:val="0E7490"/>
          <w:sz w:val="21"/>
          <w:szCs w:val="21"/>
        </w:rPr>
        <w:t xml:space="preserve">[ [X] average hours saved per rep per week (only if measured, with methodology available on request) ]</w:t>
      </w:r>
    </w:p>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Rule of thumb for this section: any number with a percentage sign that describes Leadzen's own product outcome needs a measurement methodology someone on the team can describe in one sentence if a prospect or a journalist asks "how was that measured?" If no one can answer that question today, the number should stay in brackets.</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11. Testimonials — placeholder framework (not yet real quotes)</w:t>
      </w:r>
    </w:p>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Important: the three blocks below are structural templates showing tone, length, and the kind of detail a strong testimonial needs. They are deliberately NOT written as if they were real customer quotes, because publishing a fabricated quote attributed to a real or implied company is a legal and trust risk no CEO should accept. Replace the bracketed content with an actual customer's words, gathered through a short customer-interview process, before this section goes live.</w:t>
      </w:r>
    </w:p>
    <w:p>
      <w:pPr>
        <w:spacing w:after="80" w:before="220"/>
      </w:pPr>
      <w:r>
        <w:rPr>
          <w:rFonts w:ascii="Calibri" w:cs="Calibri" w:eastAsia="Calibri" w:hAnsi="Calibri"/>
          <w:b/>
          <w:bCs/>
          <w:color w:val="6D28D9"/>
          <w:sz w:val="22"/>
          <w:szCs w:val="22"/>
        </w:rPr>
        <w:t xml:space="preserve">Template 1 — Global VP of Sales, mid-market SaaS</w:t>
      </w:r>
    </w:p>
    <w:p>
      <w:pPr>
        <w:spacing w:after="140" w:line="290"/>
      </w:pPr>
      <w:r>
        <w:rPr>
          <w:rFonts w:ascii="Calibri" w:cs="Calibri" w:eastAsia="Calibri" w:hAnsi="Calibri"/>
          <w:b/>
          <w:bCs/>
          <w:color w:val="0E7490"/>
          <w:sz w:val="21"/>
          <w:szCs w:val="21"/>
        </w:rPr>
        <w:t xml:space="preserve">[ Quote focus: how the team went from a single-region motion to selling across [X] regions without adding headcount, and what changed in time-to-first-meeting. Attribute to a real name, title, and company, with their written permission. ]</w:t>
      </w:r>
    </w:p>
    <w:p>
      <w:pPr>
        <w:spacing w:after="80" w:before="220"/>
      </w:pPr>
      <w:r>
        <w:rPr>
          <w:rFonts w:ascii="Calibri" w:cs="Calibri" w:eastAsia="Calibri" w:hAnsi="Calibri"/>
          <w:b/>
          <w:bCs/>
          <w:color w:val="6D28D9"/>
          <w:sz w:val="22"/>
          <w:szCs w:val="22"/>
        </w:rPr>
        <w:t xml:space="preserve">Template 2 — RevOps Director, enterprise</w:t>
      </w:r>
    </w:p>
    <w:p>
      <w:pPr>
        <w:spacing w:after="140" w:line="290"/>
      </w:pPr>
      <w:r>
        <w:rPr>
          <w:rFonts w:ascii="Calibri" w:cs="Calibri" w:eastAsia="Calibri" w:hAnsi="Calibri"/>
          <w:b/>
          <w:bCs/>
          <w:color w:val="0E7490"/>
          <w:sz w:val="21"/>
          <w:szCs w:val="21"/>
        </w:rPr>
        <w:t xml:space="preserve">[ Quote focus: what pipeline visibility looked like before (split across tools) versus after (one view by stage and region), and a specific number they are comfortable sharing publicly. ]</w:t>
      </w:r>
    </w:p>
    <w:p>
      <w:pPr>
        <w:spacing w:after="80" w:before="220"/>
      </w:pPr>
      <w:r>
        <w:rPr>
          <w:rFonts w:ascii="Calibri" w:cs="Calibri" w:eastAsia="Calibri" w:hAnsi="Calibri"/>
          <w:b/>
          <w:bCs/>
          <w:color w:val="6D28D9"/>
          <w:sz w:val="22"/>
          <w:szCs w:val="22"/>
        </w:rPr>
        <w:t xml:space="preserve">Template 3 — Founder/CEO, scaling company entering new markets</w:t>
      </w:r>
    </w:p>
    <w:p>
      <w:pPr>
        <w:spacing w:after="140" w:line="290"/>
      </w:pPr>
      <w:r>
        <w:rPr>
          <w:rFonts w:ascii="Calibri" w:cs="Calibri" w:eastAsia="Calibri" w:hAnsi="Calibri"/>
          <w:b/>
          <w:bCs/>
          <w:color w:val="0E7490"/>
          <w:sz w:val="21"/>
          <w:szCs w:val="21"/>
        </w:rPr>
        <w:t xml:space="preserve">[ Quote focus: the moment the team realized their outreach playbook did not travel to a new region, and what they changed. Founders make credible testimonials for a global-expansion narrative specifically. ]</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12. Pricing &amp; final CTA</w:t>
      </w:r>
    </w:p>
    <w:p>
      <w:pPr>
        <w:spacing w:after="160" w:line="300"/>
      </w:pPr>
      <w:r>
        <w:rPr>
          <w:rFonts w:ascii="Calibri" w:cs="Calibri" w:eastAsia="Calibri" w:hAnsi="Calibri"/>
          <w:i w:val="false"/>
          <w:iCs w:val="false"/>
          <w:color w:val="1A1625"/>
          <w:sz w:val="21"/>
          <w:szCs w:val="21"/>
        </w:rPr>
        <w:t xml:space="preserve">Section eyebrow: Simple pricing, global from day one</w:t>
      </w:r>
    </w:p>
    <w:p>
      <w:pPr>
        <w:spacing w:after="160" w:line="300"/>
      </w:pPr>
      <w:r>
        <w:rPr>
          <w:rFonts w:ascii="Calibri" w:cs="Calibri" w:eastAsia="Calibri" w:hAnsi="Calibri"/>
          <w:i w:val="false"/>
          <w:iCs w:val="false"/>
          <w:color w:val="1A1625"/>
          <w:sz w:val="21"/>
          <w:szCs w:val="21"/>
        </w:rPr>
        <w:t xml:space="preserve">Section heading: Start finding your next customer, wherever they are</w:t>
      </w:r>
    </w:p>
    <w:p>
      <w:pPr>
        <w:spacing w:after="160" w:line="300"/>
      </w:pPr>
      <w:r>
        <w:rPr>
          <w:rFonts w:ascii="Calibri" w:cs="Calibri" w:eastAsia="Calibri" w:hAnsi="Calibri"/>
          <w:i w:val="false"/>
          <w:iCs w:val="false"/>
          <w:color w:val="1A1625"/>
          <w:sz w:val="21"/>
          <w:szCs w:val="21"/>
        </w:rPr>
        <w:t xml:space="preserve">Three-tier structure, written to be filled with actual price points rather than inventing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Plan</w:t>
            </w:r>
          </w:p>
        </w:tc>
        <w:tc>
          <w:tcPr>
            <w:tcW w:type="dxa" w:w="290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Best for</w:t>
            </w:r>
          </w:p>
        </w:tc>
        <w:tc>
          <w:tcPr>
            <w:tcW w:type="dxa" w:w="210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Price</w:t>
            </w:r>
          </w:p>
        </w:tc>
        <w:tc>
          <w:tcPr>
            <w:tcW w:type="dxa" w:w="2850"/>
            <w:shd w:fill="1A1625" w:val="clear"/>
            <w:tcMar>
              <w:top w:type="dxa" w:w="90"/>
              <w:left w:type="dxa" w:w="100"/>
              <w:bottom w:type="dxa" w:w="90"/>
              <w:right w:type="dxa" w:w="100"/>
            </w:tcMar>
          </w:tcPr>
          <w:p>
            <w:r>
              <w:rPr>
                <w:rFonts w:ascii="Calibri" w:cs="Calibri" w:eastAsia="Calibri" w:hAnsi="Calibri"/>
                <w:b/>
                <w:bCs/>
                <w:color w:val="FFFFFF"/>
                <w:sz w:val="19"/>
                <w:szCs w:val="19"/>
              </w:rPr>
              <w:t xml:space="preserve">What's included</w:t>
            </w:r>
          </w:p>
        </w:tc>
      </w:tr>
      <w:tr>
        <w:tc>
          <w:tcPr>
            <w:tcW w:type="dxa" w:w="1500"/>
            <w:shd w:fill="FFFFFF" w:val="clear"/>
            <w:tcMar>
              <w:top w:type="dxa" w:w="80"/>
              <w:left w:type="dxa" w:w="100"/>
              <w:bottom w:type="dxa" w:w="80"/>
              <w:right w:type="dxa" w:w="100"/>
            </w:tcMar>
          </w:tcPr>
          <w:p>
            <w:r>
              <w:rPr>
                <w:rFonts w:ascii="Calibri" w:cs="Calibri" w:eastAsia="Calibri" w:hAnsi="Calibri"/>
                <w:color w:val="1A1625"/>
                <w:sz w:val="19"/>
                <w:szCs w:val="19"/>
              </w:rPr>
              <w:t xml:space="preserve">Starter</w:t>
            </w:r>
          </w:p>
        </w:tc>
        <w:tc>
          <w:tcPr>
            <w:tcW w:type="dxa" w:w="2900"/>
            <w:shd w:fill="FFFFFF" w:val="clear"/>
            <w:tcMar>
              <w:top w:type="dxa" w:w="80"/>
              <w:left w:type="dxa" w:w="100"/>
              <w:bottom w:type="dxa" w:w="80"/>
              <w:right w:type="dxa" w:w="100"/>
            </w:tcMar>
          </w:tcPr>
          <w:p>
            <w:r>
              <w:rPr>
                <w:rFonts w:ascii="Calibri" w:cs="Calibri" w:eastAsia="Calibri" w:hAnsi="Calibri"/>
                <w:color w:val="1A1625"/>
                <w:sz w:val="19"/>
                <w:szCs w:val="19"/>
              </w:rPr>
              <w:t xml:space="preserve">Individual reps or small teams testing a new region</w:t>
            </w:r>
          </w:p>
        </w:tc>
        <w:tc>
          <w:tcPr>
            <w:tcW w:type="dxa" w:w="2100"/>
            <w:shd w:fill="FFFFFF" w:val="clear"/>
            <w:tcMar>
              <w:top w:type="dxa" w:w="80"/>
              <w:left w:type="dxa" w:w="100"/>
              <w:bottom w:type="dxa" w:w="80"/>
              <w:right w:type="dxa" w:w="100"/>
            </w:tcMar>
          </w:tcPr>
          <w:p>
            <w:r>
              <w:rPr>
                <w:rFonts w:ascii="Calibri" w:cs="Calibri" w:eastAsia="Calibri" w:hAnsi="Calibri"/>
                <w:color w:val="1A1625"/>
                <w:sz w:val="19"/>
                <w:szCs w:val="19"/>
              </w:rPr>
              <w:t xml:space="preserve">[insert price] / seat / month</w:t>
            </w:r>
          </w:p>
        </w:tc>
        <w:tc>
          <w:tcPr>
            <w:tcW w:type="dxa" w:w="2850"/>
            <w:shd w:fill="FFFFFF" w:val="clear"/>
            <w:tcMar>
              <w:top w:type="dxa" w:w="80"/>
              <w:left w:type="dxa" w:w="100"/>
              <w:bottom w:type="dxa" w:w="80"/>
              <w:right w:type="dxa" w:w="100"/>
            </w:tcMar>
          </w:tcPr>
          <w:p>
            <w:r>
              <w:rPr>
                <w:rFonts w:ascii="Calibri" w:cs="Calibri" w:eastAsia="Calibri" w:hAnsi="Calibri"/>
                <w:color w:val="1A1625"/>
                <w:sz w:val="19"/>
                <w:szCs w:val="19"/>
              </w:rPr>
              <w:t xml:space="preserve">Core Find + Enrich, email sequencing, single region</w:t>
            </w:r>
          </w:p>
        </w:tc>
      </w:tr>
      <w:tr>
        <w:tc>
          <w:tcPr>
            <w:tcW w:type="dxa" w:w="1500"/>
            <w:shd w:fill="F3F1F8" w:val="clear"/>
            <w:tcMar>
              <w:top w:type="dxa" w:w="80"/>
              <w:left w:type="dxa" w:w="100"/>
              <w:bottom w:type="dxa" w:w="80"/>
              <w:right w:type="dxa" w:w="100"/>
            </w:tcMar>
          </w:tcPr>
          <w:p>
            <w:r>
              <w:rPr>
                <w:rFonts w:ascii="Calibri" w:cs="Calibri" w:eastAsia="Calibri" w:hAnsi="Calibri"/>
                <w:color w:val="1A1625"/>
                <w:sz w:val="19"/>
                <w:szCs w:val="19"/>
              </w:rPr>
              <w:t xml:space="preserve">Growth</w:t>
            </w:r>
          </w:p>
        </w:tc>
        <w:tc>
          <w:tcPr>
            <w:tcW w:type="dxa" w:w="2900"/>
            <w:shd w:fill="F3F1F8" w:val="clear"/>
            <w:tcMar>
              <w:top w:type="dxa" w:w="80"/>
              <w:left w:type="dxa" w:w="100"/>
              <w:bottom w:type="dxa" w:w="80"/>
              <w:right w:type="dxa" w:w="100"/>
            </w:tcMar>
          </w:tcPr>
          <w:p>
            <w:r>
              <w:rPr>
                <w:rFonts w:ascii="Calibri" w:cs="Calibri" w:eastAsia="Calibri" w:hAnsi="Calibri"/>
                <w:color w:val="1A1625"/>
                <w:sz w:val="19"/>
                <w:szCs w:val="19"/>
              </w:rPr>
              <w:t xml:space="preserve">Teams running active outbound across multiple regions</w:t>
            </w:r>
          </w:p>
        </w:tc>
        <w:tc>
          <w:tcPr>
            <w:tcW w:type="dxa" w:w="2100"/>
            <w:shd w:fill="F3F1F8" w:val="clear"/>
            <w:tcMar>
              <w:top w:type="dxa" w:w="80"/>
              <w:left w:type="dxa" w:w="100"/>
              <w:bottom w:type="dxa" w:w="80"/>
              <w:right w:type="dxa" w:w="100"/>
            </w:tcMar>
          </w:tcPr>
          <w:p>
            <w:r>
              <w:rPr>
                <w:rFonts w:ascii="Calibri" w:cs="Calibri" w:eastAsia="Calibri" w:hAnsi="Calibri"/>
                <w:color w:val="1A1625"/>
                <w:sz w:val="19"/>
                <w:szCs w:val="19"/>
              </w:rPr>
              <w:t xml:space="preserve">[insert price] / seat / month</w:t>
            </w:r>
          </w:p>
        </w:tc>
        <w:tc>
          <w:tcPr>
            <w:tcW w:type="dxa" w:w="2850"/>
            <w:shd w:fill="F3F1F8" w:val="clear"/>
            <w:tcMar>
              <w:top w:type="dxa" w:w="80"/>
              <w:left w:type="dxa" w:w="100"/>
              <w:bottom w:type="dxa" w:w="80"/>
              <w:right w:type="dxa" w:w="100"/>
            </w:tcMar>
          </w:tcPr>
          <w:p>
            <w:r>
              <w:rPr>
                <w:rFonts w:ascii="Calibri" w:cs="Calibri" w:eastAsia="Calibri" w:hAnsi="Calibri"/>
                <w:color w:val="1A1625"/>
                <w:sz w:val="19"/>
                <w:szCs w:val="19"/>
              </w:rPr>
              <w:t xml:space="preserve">Adds LENZ continuous enrichment, multi-channel Engage, region-level Analyze</w:t>
            </w:r>
          </w:p>
        </w:tc>
      </w:tr>
      <w:tr>
        <w:tc>
          <w:tcPr>
            <w:tcW w:type="dxa" w:w="1500"/>
            <w:shd w:fill="FFFFFF" w:val="clear"/>
            <w:tcMar>
              <w:top w:type="dxa" w:w="80"/>
              <w:left w:type="dxa" w:w="100"/>
              <w:bottom w:type="dxa" w:w="80"/>
              <w:right w:type="dxa" w:w="100"/>
            </w:tcMar>
          </w:tcPr>
          <w:p>
            <w:r>
              <w:rPr>
                <w:rFonts w:ascii="Calibri" w:cs="Calibri" w:eastAsia="Calibri" w:hAnsi="Calibri"/>
                <w:color w:val="1A1625"/>
                <w:sz w:val="19"/>
                <w:szCs w:val="19"/>
              </w:rPr>
              <w:t xml:space="preserve">Enterprise / Global</w:t>
            </w:r>
          </w:p>
        </w:tc>
        <w:tc>
          <w:tcPr>
            <w:tcW w:type="dxa" w:w="2900"/>
            <w:shd w:fill="FFFFFF" w:val="clear"/>
            <w:tcMar>
              <w:top w:type="dxa" w:w="80"/>
              <w:left w:type="dxa" w:w="100"/>
              <w:bottom w:type="dxa" w:w="80"/>
              <w:right w:type="dxa" w:w="100"/>
            </w:tcMar>
          </w:tcPr>
          <w:p>
            <w:r>
              <w:rPr>
                <w:rFonts w:ascii="Calibri" w:cs="Calibri" w:eastAsia="Calibri" w:hAnsi="Calibri"/>
                <w:color w:val="1A1625"/>
                <w:sz w:val="19"/>
                <w:szCs w:val="19"/>
              </w:rPr>
              <w:t xml:space="preserve">Organizations selling across five-plus countries or currencies</w:t>
            </w:r>
          </w:p>
        </w:tc>
        <w:tc>
          <w:tcPr>
            <w:tcW w:type="dxa" w:w="2100"/>
            <w:shd w:fill="FFFFFF" w:val="clear"/>
            <w:tcMar>
              <w:top w:type="dxa" w:w="80"/>
              <w:left w:type="dxa" w:w="100"/>
              <w:bottom w:type="dxa" w:w="80"/>
              <w:right w:type="dxa" w:w="100"/>
            </w:tcMar>
          </w:tcPr>
          <w:p>
            <w:r>
              <w:rPr>
                <w:rFonts w:ascii="Calibri" w:cs="Calibri" w:eastAsia="Calibri" w:hAnsi="Calibri"/>
                <w:color w:val="1A1625"/>
                <w:sz w:val="19"/>
                <w:szCs w:val="19"/>
              </w:rPr>
              <w:t xml:space="preserve">Custom — talk to sales</w:t>
            </w:r>
          </w:p>
        </w:tc>
        <w:tc>
          <w:tcPr>
            <w:tcW w:type="dxa" w:w="2850"/>
            <w:shd w:fill="FFFFFF" w:val="clear"/>
            <w:tcMar>
              <w:top w:type="dxa" w:w="80"/>
              <w:left w:type="dxa" w:w="100"/>
              <w:bottom w:type="dxa" w:w="80"/>
              <w:right w:type="dxa" w:w="100"/>
            </w:tcMar>
          </w:tcPr>
          <w:p>
            <w:r>
              <w:rPr>
                <w:rFonts w:ascii="Calibri" w:cs="Calibri" w:eastAsia="Calibri" w:hAnsi="Calibri"/>
                <w:color w:val="1A1625"/>
                <w:sz w:val="19"/>
                <w:szCs w:val="19"/>
              </w:rPr>
              <w:t xml:space="preserve">Adds LENZ PRO orchestration, dedicated regional support, custom data-residency terms</w:t>
            </w:r>
          </w:p>
        </w:tc>
      </w:tr>
    </w:tbl>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Do not publish placeholder prices like "$49" as a design filler. An unpriced tier with "talk to sales" reads as intentional; a wrong or outdated price reads as sloppy the moment a prospect checks it against an invoice.</w:t>
      </w:r>
    </w:p>
    <w:p>
      <w:pPr>
        <w:spacing w:after="80" w:before="220"/>
      </w:pPr>
      <w:r>
        <w:rPr>
          <w:rFonts w:ascii="Calibri" w:cs="Calibri" w:eastAsia="Calibri" w:hAnsi="Calibri"/>
          <w:b/>
          <w:bCs/>
          <w:color w:val="6D28D9"/>
          <w:sz w:val="22"/>
          <w:szCs w:val="22"/>
        </w:rPr>
        <w:t xml:space="preserve">Final CTA banner</w:t>
      </w:r>
    </w:p>
    <w:p>
      <w:pPr>
        <w:spacing w:after="160" w:line="300"/>
      </w:pPr>
      <w:r>
        <w:rPr>
          <w:rFonts w:ascii="Calibri" w:cs="Calibri" w:eastAsia="Calibri" w:hAnsi="Calibri"/>
          <w:i w:val="false"/>
          <w:iCs w:val="false"/>
          <w:color w:val="1A1625"/>
          <w:sz w:val="21"/>
          <w:szCs w:val="21"/>
        </w:rPr>
        <w:t xml:space="preserve">Headline: Your next customer might be in a market you haven't searched yet.</w:t>
      </w:r>
    </w:p>
    <w:p>
      <w:pPr>
        <w:spacing w:after="160" w:line="300"/>
      </w:pPr>
      <w:r>
        <w:rPr>
          <w:rFonts w:ascii="Calibri" w:cs="Calibri" w:eastAsia="Calibri" w:hAnsi="Calibri"/>
          <w:i w:val="false"/>
          <w:iCs w:val="false"/>
          <w:color w:val="1A1625"/>
          <w:sz w:val="21"/>
          <w:szCs w:val="21"/>
        </w:rPr>
        <w:t xml:space="preserve">Subhead: See how Leadzen.ai finds, verifies, and engages buyers across every region your team sells into.</w:t>
      </w:r>
    </w:p>
    <w:p>
      <w:pPr>
        <w:pStyle w:val="ListParagraph"/>
        <w:numPr>
          <w:ilvl w:val="0"/>
          <w:numId w:val="2"/>
        </w:numPr>
        <w:spacing w:after="100" w:line="290"/>
      </w:pPr>
      <w:r>
        <w:rPr>
          <w:rFonts w:ascii="Calibri" w:cs="Calibri" w:eastAsia="Calibri" w:hAnsi="Calibri"/>
          <w:color w:val="1A1625"/>
          <w:sz w:val="21"/>
          <w:szCs w:val="21"/>
        </w:rPr>
        <w:t xml:space="preserve">Primary button: Start Free — leadzen.ai/signup</w:t>
      </w:r>
    </w:p>
    <w:p>
      <w:pPr>
        <w:pStyle w:val="ListParagraph"/>
        <w:numPr>
          <w:ilvl w:val="0"/>
          <w:numId w:val="2"/>
        </w:numPr>
        <w:spacing w:after="100" w:line="290"/>
      </w:pPr>
      <w:r>
        <w:rPr>
          <w:rFonts w:ascii="Calibri" w:cs="Calibri" w:eastAsia="Calibri" w:hAnsi="Calibri"/>
          <w:color w:val="1A1625"/>
          <w:sz w:val="21"/>
          <w:szCs w:val="21"/>
        </w:rPr>
        <w:t xml:space="preserve">Secondary button: View pricing — leadzen.ai/pricing</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13. Footer</w:t>
      </w:r>
    </w:p>
    <w:p>
      <w:pPr>
        <w:spacing w:after="80" w:before="220"/>
      </w:pPr>
      <w:r>
        <w:rPr>
          <w:rFonts w:ascii="Calibri" w:cs="Calibri" w:eastAsia="Calibri" w:hAnsi="Calibri"/>
          <w:b/>
          <w:bCs/>
          <w:color w:val="6D28D9"/>
          <w:sz w:val="22"/>
          <w:szCs w:val="22"/>
        </w:rPr>
        <w:t xml:space="preserve">Column: Product</w:t>
      </w:r>
    </w:p>
    <w:p>
      <w:pPr>
        <w:pStyle w:val="ListParagraph"/>
        <w:numPr>
          <w:ilvl w:val="0"/>
          <w:numId w:val="2"/>
        </w:numPr>
        <w:spacing w:after="100" w:line="290"/>
      </w:pPr>
      <w:r>
        <w:rPr>
          <w:rFonts w:ascii="Calibri" w:cs="Calibri" w:eastAsia="Calibri" w:hAnsi="Calibri"/>
          <w:color w:val="1A1625"/>
          <w:sz w:val="21"/>
          <w:szCs w:val="21"/>
        </w:rPr>
        <w:t xml:space="preserve">Find</w:t>
      </w:r>
    </w:p>
    <w:p>
      <w:pPr>
        <w:pStyle w:val="ListParagraph"/>
        <w:numPr>
          <w:ilvl w:val="0"/>
          <w:numId w:val="2"/>
        </w:numPr>
        <w:spacing w:after="100" w:line="290"/>
      </w:pPr>
      <w:r>
        <w:rPr>
          <w:rFonts w:ascii="Calibri" w:cs="Calibri" w:eastAsia="Calibri" w:hAnsi="Calibri"/>
          <w:color w:val="1A1625"/>
          <w:sz w:val="21"/>
          <w:szCs w:val="21"/>
        </w:rPr>
        <w:t xml:space="preserve">Enrich</w:t>
      </w:r>
    </w:p>
    <w:p>
      <w:pPr>
        <w:pStyle w:val="ListParagraph"/>
        <w:numPr>
          <w:ilvl w:val="0"/>
          <w:numId w:val="2"/>
        </w:numPr>
        <w:spacing w:after="100" w:line="290"/>
      </w:pPr>
      <w:r>
        <w:rPr>
          <w:rFonts w:ascii="Calibri" w:cs="Calibri" w:eastAsia="Calibri" w:hAnsi="Calibri"/>
          <w:color w:val="1A1625"/>
          <w:sz w:val="21"/>
          <w:szCs w:val="21"/>
        </w:rPr>
        <w:t xml:space="preserve">Engage</w:t>
      </w:r>
    </w:p>
    <w:p>
      <w:pPr>
        <w:pStyle w:val="ListParagraph"/>
        <w:numPr>
          <w:ilvl w:val="0"/>
          <w:numId w:val="2"/>
        </w:numPr>
        <w:spacing w:after="100" w:line="290"/>
      </w:pPr>
      <w:r>
        <w:rPr>
          <w:rFonts w:ascii="Calibri" w:cs="Calibri" w:eastAsia="Calibri" w:hAnsi="Calibri"/>
          <w:color w:val="1A1625"/>
          <w:sz w:val="21"/>
          <w:szCs w:val="21"/>
        </w:rPr>
        <w:t xml:space="preserve">Analyze</w:t>
      </w:r>
    </w:p>
    <w:p>
      <w:pPr>
        <w:pStyle w:val="ListParagraph"/>
        <w:numPr>
          <w:ilvl w:val="0"/>
          <w:numId w:val="2"/>
        </w:numPr>
        <w:spacing w:after="100" w:line="290"/>
      </w:pPr>
      <w:r>
        <w:rPr>
          <w:rFonts w:ascii="Calibri" w:cs="Calibri" w:eastAsia="Calibri" w:hAnsi="Calibri"/>
          <w:color w:val="1A1625"/>
          <w:sz w:val="21"/>
          <w:szCs w:val="21"/>
        </w:rPr>
        <w:t xml:space="preserve">Agents: ZEN, LENZ, LENZ PRO</w:t>
      </w:r>
    </w:p>
    <w:p>
      <w:pPr>
        <w:spacing w:after="80" w:before="220"/>
      </w:pPr>
      <w:r>
        <w:rPr>
          <w:rFonts w:ascii="Calibri" w:cs="Calibri" w:eastAsia="Calibri" w:hAnsi="Calibri"/>
          <w:b/>
          <w:bCs/>
          <w:color w:val="6D28D9"/>
          <w:sz w:val="22"/>
          <w:szCs w:val="22"/>
        </w:rPr>
        <w:t xml:space="preserve">Column: Solutions</w:t>
      </w:r>
    </w:p>
    <w:p>
      <w:pPr>
        <w:pStyle w:val="ListParagraph"/>
        <w:numPr>
          <w:ilvl w:val="0"/>
          <w:numId w:val="2"/>
        </w:numPr>
        <w:spacing w:after="100" w:line="290"/>
      </w:pPr>
      <w:r>
        <w:rPr>
          <w:rFonts w:ascii="Calibri" w:cs="Calibri" w:eastAsia="Calibri" w:hAnsi="Calibri"/>
          <w:color w:val="1A1625"/>
          <w:sz w:val="21"/>
          <w:szCs w:val="21"/>
        </w:rPr>
        <w:t xml:space="preserve">By region: Americas / EMEA / APAC</w:t>
      </w:r>
    </w:p>
    <w:p>
      <w:pPr>
        <w:pStyle w:val="ListParagraph"/>
        <w:numPr>
          <w:ilvl w:val="0"/>
          <w:numId w:val="2"/>
        </w:numPr>
        <w:spacing w:after="100" w:line="290"/>
      </w:pPr>
      <w:r>
        <w:rPr>
          <w:rFonts w:ascii="Calibri" w:cs="Calibri" w:eastAsia="Calibri" w:hAnsi="Calibri"/>
          <w:color w:val="1A1625"/>
          <w:sz w:val="21"/>
          <w:szCs w:val="21"/>
        </w:rPr>
        <w:t xml:space="preserve">By team: SDR, Account Executive, RevOps, Marketing</w:t>
      </w:r>
    </w:p>
    <w:p>
      <w:pPr>
        <w:spacing w:after="80" w:before="220"/>
      </w:pPr>
      <w:r>
        <w:rPr>
          <w:rFonts w:ascii="Calibri" w:cs="Calibri" w:eastAsia="Calibri" w:hAnsi="Calibri"/>
          <w:b/>
          <w:bCs/>
          <w:color w:val="6D28D9"/>
          <w:sz w:val="22"/>
          <w:szCs w:val="22"/>
        </w:rPr>
        <w:t xml:space="preserve">Column: Company</w:t>
      </w:r>
    </w:p>
    <w:p>
      <w:pPr>
        <w:pStyle w:val="ListParagraph"/>
        <w:numPr>
          <w:ilvl w:val="0"/>
          <w:numId w:val="2"/>
        </w:numPr>
        <w:spacing w:after="100" w:line="290"/>
      </w:pPr>
      <w:r>
        <w:rPr>
          <w:rFonts w:ascii="Calibri" w:cs="Calibri" w:eastAsia="Calibri" w:hAnsi="Calibri"/>
          <w:color w:val="1A1625"/>
          <w:sz w:val="21"/>
          <w:szCs w:val="21"/>
        </w:rPr>
        <w:t xml:space="preserve">About</w:t>
      </w:r>
    </w:p>
    <w:p>
      <w:pPr>
        <w:pStyle w:val="ListParagraph"/>
        <w:numPr>
          <w:ilvl w:val="0"/>
          <w:numId w:val="2"/>
        </w:numPr>
        <w:spacing w:after="100" w:line="290"/>
      </w:pPr>
      <w:r>
        <w:rPr>
          <w:rFonts w:ascii="Calibri" w:cs="Calibri" w:eastAsia="Calibri" w:hAnsi="Calibri"/>
          <w:color w:val="1A1625"/>
          <w:sz w:val="21"/>
          <w:szCs w:val="21"/>
        </w:rPr>
        <w:t xml:space="preserve">Careers</w:t>
      </w:r>
    </w:p>
    <w:p>
      <w:pPr>
        <w:pStyle w:val="ListParagraph"/>
        <w:numPr>
          <w:ilvl w:val="0"/>
          <w:numId w:val="2"/>
        </w:numPr>
        <w:spacing w:after="100" w:line="290"/>
      </w:pPr>
      <w:r>
        <w:rPr>
          <w:rFonts w:ascii="Calibri" w:cs="Calibri" w:eastAsia="Calibri" w:hAnsi="Calibri"/>
          <w:color w:val="1A1625"/>
          <w:sz w:val="21"/>
          <w:szCs w:val="21"/>
        </w:rPr>
        <w:t xml:space="preserve">Blog — leadzen.ai/blog</w:t>
      </w:r>
    </w:p>
    <w:p>
      <w:pPr>
        <w:pStyle w:val="ListParagraph"/>
        <w:numPr>
          <w:ilvl w:val="0"/>
          <w:numId w:val="2"/>
        </w:numPr>
        <w:spacing w:after="100" w:line="290"/>
      </w:pPr>
      <w:r>
        <w:rPr>
          <w:rFonts w:ascii="Calibri" w:cs="Calibri" w:eastAsia="Calibri" w:hAnsi="Calibri"/>
          <w:color w:val="1A1625"/>
          <w:sz w:val="21"/>
          <w:szCs w:val="21"/>
        </w:rPr>
        <w:t xml:space="preserve">Contact</w:t>
      </w:r>
    </w:p>
    <w:p>
      <w:pPr>
        <w:spacing w:after="80" w:before="220"/>
      </w:pPr>
      <w:r>
        <w:rPr>
          <w:rFonts w:ascii="Calibri" w:cs="Calibri" w:eastAsia="Calibri" w:hAnsi="Calibri"/>
          <w:b/>
          <w:bCs/>
          <w:color w:val="6D28D9"/>
          <w:sz w:val="22"/>
          <w:szCs w:val="22"/>
        </w:rPr>
        <w:t xml:space="preserve">Column: Trust &amp; compliance</w:t>
      </w:r>
    </w:p>
    <w:p>
      <w:pPr>
        <w:spacing w:after="140" w:line="290"/>
      </w:pPr>
      <w:r>
        <w:rPr>
          <w:rFonts w:ascii="Calibri" w:cs="Calibri" w:eastAsia="Calibri" w:hAnsi="Calibri"/>
          <w:b/>
          <w:bCs/>
          <w:color w:val="0E7490"/>
          <w:sz w:val="21"/>
          <w:szCs w:val="21"/>
        </w:rPr>
        <w:t xml:space="preserve">[ List only certifications and compliance postures that are confirmed and current (e.g., "GDPR-aligned data handling," "SOC 2 in progress," or specific certifications once actually issued). Do not list a certification the company has not completed. ]</w:t>
      </w:r>
    </w:p>
    <w:p>
      <w:pPr>
        <w:spacing w:after="80" w:before="220"/>
      </w:pPr>
      <w:r>
        <w:rPr>
          <w:rFonts w:ascii="Calibri" w:cs="Calibri" w:eastAsia="Calibri" w:hAnsi="Calibri"/>
          <w:b/>
          <w:bCs/>
          <w:color w:val="6D28D9"/>
          <w:sz w:val="22"/>
          <w:szCs w:val="22"/>
        </w:rPr>
        <w:t xml:space="preserve">Bottom bar</w:t>
      </w:r>
    </w:p>
    <w:p>
      <w:pPr>
        <w:spacing w:after="160" w:line="300"/>
      </w:pPr>
      <w:r>
        <w:rPr>
          <w:rFonts w:ascii="Calibri" w:cs="Calibri" w:eastAsia="Calibri" w:hAnsi="Calibri"/>
          <w:i w:val="false"/>
          <w:iCs w:val="false"/>
          <w:color w:val="1A1625"/>
          <w:sz w:val="21"/>
          <w:szCs w:val="21"/>
        </w:rPr>
        <w:t xml:space="preserve">© [year] Leadzen.ai. All rights reserved. — Privacy Policy — Terms of Service — Cookie Settings</w:t>
      </w:r>
    </w:p>
    <w:p>
      <w:pPr>
        <w:spacing w:after="160" w:line="300"/>
      </w:pPr>
      <w:r>
        <w:rPr>
          <w:rFonts w:ascii="Calibri" w:cs="Calibri" w:eastAsia="Calibri" w:hAnsi="Calibri"/>
          <w:i w:val="false"/>
          <w:iCs w:val="false"/>
          <w:color w:val="1A1625"/>
          <w:sz w:val="21"/>
          <w:szCs w:val="21"/>
        </w:rPr>
        <w:t xml:space="preserve">Social icons: LinkedIn, X, YouTube (link only to profiles that are actually live and maintained)</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14. Technical &amp; localization notes for engineering</w:t>
      </w:r>
    </w:p>
    <w:p>
      <w:pPr>
        <w:spacing w:after="160" w:line="300"/>
      </w:pPr>
      <w:r>
        <w:rPr>
          <w:rFonts w:ascii="Calibri" w:cs="Calibri" w:eastAsia="Calibri" w:hAnsi="Calibri"/>
          <w:i w:val="false"/>
          <w:iCs w:val="false"/>
          <w:color w:val="1A1625"/>
          <w:sz w:val="21"/>
          <w:szCs w:val="21"/>
        </w:rPr>
        <w:t xml:space="preserve">These notes support the "global-centric" brief from a build standpoint, separate from the on-page copy above.</w:t>
      </w:r>
    </w:p>
    <w:p>
      <w:pPr>
        <w:spacing w:after="80" w:before="220"/>
      </w:pPr>
      <w:r>
        <w:rPr>
          <w:rFonts w:ascii="Calibri" w:cs="Calibri" w:eastAsia="Calibri" w:hAnsi="Calibri"/>
          <w:b/>
          <w:bCs/>
          <w:color w:val="6D28D9"/>
          <w:sz w:val="22"/>
          <w:szCs w:val="22"/>
        </w:rPr>
        <w:t xml:space="preserve">Internationalization</w:t>
      </w:r>
    </w:p>
    <w:p>
      <w:pPr>
        <w:pStyle w:val="ListParagraph"/>
        <w:numPr>
          <w:ilvl w:val="0"/>
          <w:numId w:val="2"/>
        </w:numPr>
        <w:spacing w:after="100" w:line="290"/>
      </w:pPr>
      <w:r>
        <w:rPr>
          <w:rFonts w:ascii="Calibri" w:cs="Calibri" w:eastAsia="Calibri" w:hAnsi="Calibri"/>
          <w:color w:val="1A1625"/>
          <w:sz w:val="21"/>
          <w:szCs w:val="21"/>
        </w:rPr>
        <w:t xml:space="preserve">Implement hreflang tags for each regional/language variant of the site so search engines serve the correct version by locale, rather than relying on a single global URL for every region.</w:t>
      </w:r>
    </w:p>
    <w:p>
      <w:pPr>
        <w:pStyle w:val="ListParagraph"/>
        <w:numPr>
          <w:ilvl w:val="0"/>
          <w:numId w:val="2"/>
        </w:numPr>
        <w:spacing w:after="100" w:line="290"/>
      </w:pPr>
      <w:r>
        <w:rPr>
          <w:rFonts w:ascii="Calibri" w:cs="Calibri" w:eastAsia="Calibri" w:hAnsi="Calibri"/>
          <w:color w:val="1A1625"/>
          <w:sz w:val="21"/>
          <w:szCs w:val="21"/>
        </w:rPr>
        <w:t xml:space="preserve">Keep currency and number formatting locale-aware in the pricing table and anywhere a statistic is shown (comma versus period as a decimal separator, for instance).</w:t>
      </w:r>
    </w:p>
    <w:p>
      <w:pPr>
        <w:pStyle w:val="ListParagraph"/>
        <w:numPr>
          <w:ilvl w:val="0"/>
          <w:numId w:val="2"/>
        </w:numPr>
        <w:spacing w:after="100" w:line="290"/>
      </w:pPr>
      <w:r>
        <w:rPr>
          <w:rFonts w:ascii="Calibri" w:cs="Calibri" w:eastAsia="Calibri" w:hAnsi="Calibri"/>
          <w:color w:val="1A1625"/>
          <w:sz w:val="21"/>
          <w:szCs w:val="21"/>
        </w:rPr>
        <w:t xml:space="preserve">Route the WhatsApp channel option in Engage so it only surfaces in regions where it is the default professional channel, rather than showing it globally by default.</w:t>
      </w:r>
    </w:p>
    <w:p>
      <w:pPr>
        <w:spacing w:after="80" w:before="220"/>
      </w:pPr>
      <w:r>
        <w:rPr>
          <w:rFonts w:ascii="Calibri" w:cs="Calibri" w:eastAsia="Calibri" w:hAnsi="Calibri"/>
          <w:b/>
          <w:bCs/>
          <w:color w:val="6D28D9"/>
          <w:sz w:val="22"/>
          <w:szCs w:val="22"/>
        </w:rPr>
        <w:t xml:space="preserve">Structured data &amp; AI-answer-engine visibility</w:t>
      </w:r>
    </w:p>
    <w:p>
      <w:pPr>
        <w:spacing w:after="160" w:line="300"/>
      </w:pPr>
      <w:r>
        <w:rPr>
          <w:rFonts w:ascii="Calibri" w:cs="Calibri" w:eastAsia="Calibri" w:hAnsi="Calibri"/>
          <w:i w:val="false"/>
          <w:iCs w:val="false"/>
          <w:color w:val="1A1625"/>
          <w:sz w:val="21"/>
          <w:szCs w:val="21"/>
        </w:rPr>
        <w:t xml:space="preserve">Given that GenAI chatbots are now the most-cited source shaping vendor shortlists (G2, 2025), the site should carry clean schema.org markup (Organization, Product, FAQ, Review where real reviews exist) so that AI answer engines can accurately summarize what Leadzen does, rather than guessing from unstructured page text.</w:t>
      </w:r>
    </w:p>
    <w:p>
      <w:pPr>
        <w:spacing w:after="80" w:before="220"/>
      </w:pPr>
      <w:r>
        <w:rPr>
          <w:rFonts w:ascii="Calibri" w:cs="Calibri" w:eastAsia="Calibri" w:hAnsi="Calibri"/>
          <w:b/>
          <w:bCs/>
          <w:color w:val="6D28D9"/>
          <w:sz w:val="22"/>
          <w:szCs w:val="22"/>
        </w:rPr>
        <w:t xml:space="preserve">Performance &amp; trust signals</w:t>
      </w:r>
    </w:p>
    <w:p>
      <w:pPr>
        <w:pStyle w:val="ListParagraph"/>
        <w:numPr>
          <w:ilvl w:val="0"/>
          <w:numId w:val="2"/>
        </w:numPr>
        <w:spacing w:after="100" w:line="290"/>
      </w:pPr>
      <w:r>
        <w:rPr>
          <w:rFonts w:ascii="Calibri" w:cs="Calibri" w:eastAsia="Calibri" w:hAnsi="Calibri"/>
          <w:color w:val="1A1625"/>
          <w:sz w:val="21"/>
          <w:szCs w:val="21"/>
        </w:rPr>
        <w:t xml:space="preserve">Publish real page-speed and Core Web Vitals numbers only after they have been measured on the live build, not as launch-day estimates.</w:t>
      </w:r>
    </w:p>
    <w:p>
      <w:pPr>
        <w:pStyle w:val="ListParagraph"/>
        <w:numPr>
          <w:ilvl w:val="0"/>
          <w:numId w:val="2"/>
        </w:numPr>
        <w:spacing w:after="100" w:line="290"/>
      </w:pPr>
      <w:r>
        <w:rPr>
          <w:rFonts w:ascii="Calibri" w:cs="Calibri" w:eastAsia="Calibri" w:hAnsi="Calibri"/>
          <w:color w:val="1A1625"/>
          <w:sz w:val="21"/>
          <w:szCs w:val="21"/>
        </w:rPr>
        <w:t xml:space="preserve">Any security or compliance badge shown in the footer must link to a live, current status page or certificate, not a static image with no backing evidence.</w:t>
      </w:r>
    </w:p>
    <w:p>
      <w:pPr>
        <w:spacing w:after="80" w:before="220"/>
      </w:pPr>
      <w:r>
        <w:rPr>
          <w:rFonts w:ascii="Calibri" w:cs="Calibri" w:eastAsia="Calibri" w:hAnsi="Calibri"/>
          <w:b/>
          <w:bCs/>
          <w:color w:val="6D28D9"/>
          <w:sz w:val="22"/>
          <w:szCs w:val="22"/>
        </w:rPr>
        <w:t xml:space="preserve">Brand voice rules applied throughout this document</w:t>
      </w:r>
    </w:p>
    <w:p>
      <w:pPr>
        <w:pStyle w:val="ListParagraph"/>
        <w:numPr>
          <w:ilvl w:val="0"/>
          <w:numId w:val="2"/>
        </w:numPr>
        <w:spacing w:after="100" w:line="290"/>
      </w:pPr>
      <w:r>
        <w:rPr>
          <w:rFonts w:ascii="Calibri" w:cs="Calibri" w:eastAsia="Calibri" w:hAnsi="Calibri"/>
          <w:color w:val="1A1625"/>
          <w:sz w:val="21"/>
          <w:szCs w:val="21"/>
        </w:rPr>
        <w:t xml:space="preserve">No em dashes; en dashes used only for numeric ranges.</w:t>
      </w:r>
    </w:p>
    <w:p>
      <w:pPr>
        <w:pStyle w:val="ListParagraph"/>
        <w:numPr>
          <w:ilvl w:val="0"/>
          <w:numId w:val="2"/>
        </w:numPr>
        <w:spacing w:after="100" w:line="290"/>
      </w:pPr>
      <w:r>
        <w:rPr>
          <w:rFonts w:ascii="Calibri" w:cs="Calibri" w:eastAsia="Calibri" w:hAnsi="Calibri"/>
          <w:color w:val="1A1625"/>
          <w:sz w:val="21"/>
          <w:szCs w:val="21"/>
        </w:rPr>
        <w:t xml:space="preserve">Active voice throughout ("Leadzen finds the buyer," not "the buyer is found by Leadzen").</w:t>
      </w:r>
    </w:p>
    <w:p>
      <w:pPr>
        <w:pStyle w:val="ListParagraph"/>
        <w:numPr>
          <w:ilvl w:val="0"/>
          <w:numId w:val="2"/>
        </w:numPr>
        <w:spacing w:after="100" w:line="290"/>
      </w:pPr>
      <w:r>
        <w:rPr>
          <w:rFonts w:ascii="Calibri" w:cs="Calibri" w:eastAsia="Calibri" w:hAnsi="Calibri"/>
          <w:color w:val="1A1625"/>
          <w:sz w:val="21"/>
          <w:szCs w:val="21"/>
        </w:rPr>
        <w:t xml:space="preserve">No filler words such as "seamless," "robust," "cutting-edge," or "revolutionary."</w:t>
      </w:r>
    </w:p>
    <w:p>
      <w:pPr>
        <w:pStyle w:val="ListParagraph"/>
        <w:numPr>
          <w:ilvl w:val="0"/>
          <w:numId w:val="2"/>
        </w:numPr>
        <w:spacing w:after="100" w:line="290"/>
      </w:pPr>
      <w:r>
        <w:rPr>
          <w:rFonts w:ascii="Calibri" w:cs="Calibri" w:eastAsia="Calibri" w:hAnsi="Calibri"/>
          <w:color w:val="1A1625"/>
          <w:sz w:val="21"/>
          <w:szCs w:val="21"/>
        </w:rPr>
        <w:t xml:space="preserve">Only approved internal URLs referenced: leadzen.ai, leadzen.ai/signup, leadzen.ai/pricing, leadzen.ai/blog.</w:t>
      </w:r>
    </w:p>
    <w:p>
      <w:r>
        <w:br w:type="page"/>
      </w:r>
    </w:p>
    <w:p>
      <w:pPr>
        <w:pStyle w:val="Heading1"/>
        <w:pBdr>
          <w:bottom w:val="single" w:color="6D28D9" w:sz="12" w:space="4"/>
        </w:pBdr>
        <w:spacing w:after="200" w:before="480"/>
      </w:pPr>
      <w:r>
        <w:rPr>
          <w:rFonts w:ascii="Calibri" w:cs="Calibri" w:eastAsia="Calibri" w:hAnsi="Calibri"/>
          <w:b/>
          <w:bCs/>
          <w:color w:val="6D28D9"/>
          <w:sz w:val="34"/>
          <w:szCs w:val="34"/>
        </w:rPr>
        <w:t xml:space="preserve">15. Sources</w:t>
      </w:r>
    </w:p>
    <w:p>
      <w:pPr>
        <w:spacing w:after="160" w:line="300"/>
      </w:pPr>
      <w:r>
        <w:rPr>
          <w:rFonts w:ascii="Calibri" w:cs="Calibri" w:eastAsia="Calibri" w:hAnsi="Calibri"/>
          <w:i w:val="false"/>
          <w:iCs w:val="false"/>
          <w:color w:val="1A1625"/>
          <w:sz w:val="21"/>
          <w:szCs w:val="21"/>
        </w:rPr>
        <w:t xml:space="preserve">Every external statistic used in this document, listed once for easy verification:</w:t>
      </w:r>
    </w:p>
    <w:p>
      <w:pPr>
        <w:pStyle w:val="ListParagraph"/>
        <w:numPr>
          <w:ilvl w:val="0"/>
          <w:numId w:val="2"/>
        </w:numPr>
        <w:spacing w:after="100" w:line="290"/>
      </w:pPr>
      <w:r>
        <w:rPr>
          <w:rFonts w:ascii="Calibri" w:cs="Calibri" w:eastAsia="Calibri" w:hAnsi="Calibri"/>
          <w:color w:val="1A1625"/>
          <w:sz w:val="21"/>
          <w:szCs w:val="21"/>
        </w:rPr>
        <w:t xml:space="preserve">Trade.gov / International Trade Administration — global B2B eCommerce market projections, 2026-2027.</w:t>
      </w:r>
    </w:p>
    <w:p>
      <w:pPr>
        <w:pStyle w:val="ListParagraph"/>
        <w:numPr>
          <w:ilvl w:val="0"/>
          <w:numId w:val="2"/>
        </w:numPr>
        <w:spacing w:after="100" w:line="290"/>
      </w:pPr>
      <w:r>
        <w:rPr>
          <w:rFonts w:ascii="Calibri" w:cs="Calibri" w:eastAsia="Calibri" w:hAnsi="Calibri"/>
          <w:color w:val="1A1625"/>
          <w:sz w:val="21"/>
          <w:szCs w:val="21"/>
        </w:rPr>
        <w:t xml:space="preserve">Fortune Business Insights — Sales Intelligence Market Size, Share &amp; Statistics, 2026-2034.</w:t>
      </w:r>
    </w:p>
    <w:p>
      <w:pPr>
        <w:pStyle w:val="ListParagraph"/>
        <w:numPr>
          <w:ilvl w:val="0"/>
          <w:numId w:val="2"/>
        </w:numPr>
        <w:spacing w:after="100" w:line="290"/>
      </w:pPr>
      <w:r>
        <w:rPr>
          <w:rFonts w:ascii="Calibri" w:cs="Calibri" w:eastAsia="Calibri" w:hAnsi="Calibri"/>
          <w:color w:val="1A1625"/>
          <w:sz w:val="21"/>
          <w:szCs w:val="21"/>
        </w:rPr>
        <w:t xml:space="preserve">GlobalGrowthInsights — Sales Intelligence Market Trends, Forecast &amp; Strategic Outlook, 2026.</w:t>
      </w:r>
    </w:p>
    <w:p>
      <w:pPr>
        <w:pStyle w:val="ListParagraph"/>
        <w:numPr>
          <w:ilvl w:val="0"/>
          <w:numId w:val="2"/>
        </w:numPr>
        <w:spacing w:after="100" w:line="290"/>
      </w:pPr>
      <w:r>
        <w:rPr>
          <w:rFonts w:ascii="Calibri" w:cs="Calibri" w:eastAsia="Calibri" w:hAnsi="Calibri"/>
          <w:color w:val="1A1625"/>
          <w:sz w:val="21"/>
          <w:szCs w:val="21"/>
        </w:rPr>
        <w:t xml:space="preserve">The Business Research Company — Sales Intelligence Global Market Report, 2026.</w:t>
      </w:r>
    </w:p>
    <w:p>
      <w:pPr>
        <w:pStyle w:val="ListParagraph"/>
        <w:numPr>
          <w:ilvl w:val="0"/>
          <w:numId w:val="2"/>
        </w:numPr>
        <w:spacing w:after="100" w:line="290"/>
      </w:pPr>
      <w:r>
        <w:rPr>
          <w:rFonts w:ascii="Calibri" w:cs="Calibri" w:eastAsia="Calibri" w:hAnsi="Calibri"/>
          <w:color w:val="1A1625"/>
          <w:sz w:val="21"/>
          <w:szCs w:val="21"/>
        </w:rPr>
        <w:t xml:space="preserve">Prospeo — "Sales Intelligence Market in 2026: Size, Trends &amp; Data" and "Business Buying Behavior: What the Data Says in 2026," analyst synthesis reports.</w:t>
      </w:r>
    </w:p>
    <w:p>
      <w:pPr>
        <w:pStyle w:val="ListParagraph"/>
        <w:numPr>
          <w:ilvl w:val="0"/>
          <w:numId w:val="2"/>
        </w:numPr>
        <w:spacing w:after="100" w:line="290"/>
      </w:pPr>
      <w:r>
        <w:rPr>
          <w:rFonts w:ascii="Calibri" w:cs="Calibri" w:eastAsia="Calibri" w:hAnsi="Calibri"/>
          <w:color w:val="1A1625"/>
          <w:sz w:val="21"/>
          <w:szCs w:val="21"/>
        </w:rPr>
        <w:t xml:space="preserve">WifiTalents — B2B Sales Intelligence Industry: Data Reports, 2026.</w:t>
      </w:r>
    </w:p>
    <w:p>
      <w:pPr>
        <w:pStyle w:val="ListParagraph"/>
        <w:numPr>
          <w:ilvl w:val="0"/>
          <w:numId w:val="2"/>
        </w:numPr>
        <w:spacing w:after="100" w:line="290"/>
      </w:pPr>
      <w:r>
        <w:rPr>
          <w:rFonts w:ascii="Calibri" w:cs="Calibri" w:eastAsia="Calibri" w:hAnsi="Calibri"/>
          <w:color w:val="1A1625"/>
          <w:sz w:val="21"/>
          <w:szCs w:val="21"/>
        </w:rPr>
        <w:t xml:space="preserve">Wave Connect — B2B Sales Statistics 2026: 65+ Facts and Data.</w:t>
      </w:r>
    </w:p>
    <w:p>
      <w:pPr>
        <w:pStyle w:val="ListParagraph"/>
        <w:numPr>
          <w:ilvl w:val="0"/>
          <w:numId w:val="2"/>
        </w:numPr>
        <w:spacing w:after="100" w:line="290"/>
      </w:pPr>
      <w:r>
        <w:rPr>
          <w:rFonts w:ascii="Calibri" w:cs="Calibri" w:eastAsia="Calibri" w:hAnsi="Calibri"/>
          <w:color w:val="1A1625"/>
          <w:sz w:val="21"/>
          <w:szCs w:val="21"/>
        </w:rPr>
        <w:t xml:space="preserve">SellersCommerce — 45 Crucial B2B Marketing Statistics For 2026.</w:t>
      </w:r>
    </w:p>
    <w:p>
      <w:pPr>
        <w:pStyle w:val="ListParagraph"/>
        <w:numPr>
          <w:ilvl w:val="0"/>
          <w:numId w:val="2"/>
        </w:numPr>
        <w:spacing w:after="100" w:line="290"/>
      </w:pPr>
      <w:r>
        <w:rPr>
          <w:rFonts w:ascii="Calibri" w:cs="Calibri" w:eastAsia="Calibri" w:hAnsi="Calibri"/>
          <w:color w:val="1A1625"/>
          <w:sz w:val="21"/>
          <w:szCs w:val="21"/>
        </w:rPr>
        <w:t xml:space="preserve">Forrester — State of Business Buying, 2025 Buyers' Journey Survey (as reported January 2026).</w:t>
      </w:r>
    </w:p>
    <w:p>
      <w:pPr>
        <w:pStyle w:val="ListParagraph"/>
        <w:numPr>
          <w:ilvl w:val="0"/>
          <w:numId w:val="2"/>
        </w:numPr>
        <w:spacing w:after="100" w:line="290"/>
      </w:pPr>
      <w:r>
        <w:rPr>
          <w:rFonts w:ascii="Calibri" w:cs="Calibri" w:eastAsia="Calibri" w:hAnsi="Calibri"/>
          <w:color w:val="1A1625"/>
          <w:sz w:val="21"/>
          <w:szCs w:val="21"/>
        </w:rPr>
        <w:t xml:space="preserve">Gartner — B2B buying committee research, cited via Attainment Labs and Belkins industry summaries, 2023-2026.</w:t>
      </w:r>
    </w:p>
    <w:p>
      <w:pPr>
        <w:pStyle w:val="ListParagraph"/>
        <w:numPr>
          <w:ilvl w:val="0"/>
          <w:numId w:val="2"/>
        </w:numPr>
        <w:spacing w:after="100" w:line="290"/>
      </w:pPr>
      <w:r>
        <w:rPr>
          <w:rFonts w:ascii="Calibri" w:cs="Calibri" w:eastAsia="Calibri" w:hAnsi="Calibri"/>
          <w:color w:val="1A1625"/>
          <w:sz w:val="21"/>
          <w:szCs w:val="21"/>
        </w:rPr>
        <w:t xml:space="preserve">G2 — 2025 Buyer Behavior Report: AI Now Means Always Included.</w:t>
      </w:r>
    </w:p>
    <w:p>
      <w:pPr>
        <w:pStyle w:val="ListParagraph"/>
        <w:numPr>
          <w:ilvl w:val="0"/>
          <w:numId w:val="2"/>
        </w:numPr>
        <w:spacing w:after="100" w:line="290"/>
      </w:pPr>
      <w:r>
        <w:rPr>
          <w:rFonts w:ascii="Calibri" w:cs="Calibri" w:eastAsia="Calibri" w:hAnsi="Calibri"/>
          <w:color w:val="1A1625"/>
          <w:sz w:val="21"/>
          <w:szCs w:val="21"/>
        </w:rPr>
        <w:t xml:space="preserve">Martal Group — B2B funnel conversion benchmarks, 2026.</w:t>
      </w:r>
    </w:p>
    <w:p>
      <w:pPr>
        <w:pStyle w:val="ListParagraph"/>
        <w:numPr>
          <w:ilvl w:val="0"/>
          <w:numId w:val="2"/>
        </w:numPr>
        <w:spacing w:after="100" w:line="290"/>
      </w:pPr>
      <w:r>
        <w:rPr>
          <w:rFonts w:ascii="Calibri" w:cs="Calibri" w:eastAsia="Calibri" w:hAnsi="Calibri"/>
          <w:color w:val="1A1625"/>
          <w:sz w:val="21"/>
          <w:szCs w:val="21"/>
        </w:rPr>
        <w:t xml:space="preserve">Omnibound — B2B Buying Statistics (2026): 55+ Data Points on the Self-Serve Research Phase.</w:t>
      </w:r>
    </w:p>
    <w:p>
      <w:pPr>
        <w:pBdr>
          <w:left w:val="single" w:color="6D28D9" w:sz="24" w:space="8"/>
        </w:pBdr>
        <w:shd w:fill="F3F1F8" w:val="clear"/>
        <w:spacing w:after="200" w:before="100"/>
        <w:ind w:left="200"/>
      </w:pPr>
      <w:r>
        <w:rPr>
          <w:rFonts w:ascii="Calibri" w:cs="Calibri" w:eastAsia="Calibri" w:hAnsi="Calibri"/>
          <w:i/>
          <w:iCs/>
          <w:color w:val="5B5568"/>
          <w:sz w:val="19"/>
          <w:szCs w:val="19"/>
        </w:rPr>
        <w:t xml:space="preserve">Recommendation: before publishing any of the above as an on-page citation, have one team member spot-check the two or three most "headline" numbers (the $36T market size and the 13-stakeholder committee figure) directly against the original report where possible, since several of the sources above are aggregators citing primary research houses like Forrester and Gartner rather than the primary reports themselves.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2026-07-07T07:20:45.654Z</dcterms:created>
  <dcterms:modified xsi:type="dcterms:W3CDTF">2026-07-07T07:20:45.666Z</dcterms:modified>
</cp:coreProperties>
</file>

<file path=docProps/custom.xml><?xml version="1.0" encoding="utf-8"?>
<Properties xmlns="http://schemas.openxmlformats.org/officeDocument/2006/custom-properties" xmlns:vt="http://schemas.openxmlformats.org/officeDocument/2006/docPropsVTypes"/>
</file>