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dication-matmoud-policy"/>
    <w:p>
      <w:pPr>
        <w:pStyle w:val="Heading1"/>
      </w:pPr>
      <w:r>
        <w:t xml:space="preserve">Medication &amp; MAT/MOUD Policy</w:t>
      </w:r>
    </w:p>
    <w:p>
      <w:pPr>
        <w:pStyle w:val="FirstParagraph"/>
      </w:pPr>
      <w:r>
        <w:rPr>
          <w:bCs/>
          <w:b/>
          <w:color w:val="8E4585"/>
        </w:rPr>
        <w:t xml:space="preserve">Grace House · Grace For Addictions</w:t>
      </w:r>
      <w:r>
        <w:t xml:space="preserve"> </w:t>
      </w:r>
      <w:r>
        <w:t xml:space="preserve">1311 9th Street, Des Moines, Iowa 50314 · Office: 515-220-8771 · Warmline: 515-310-DIAL (3425) · gracehouse@graceforaddictions.org</w:t>
      </w:r>
    </w:p>
    <w:p>
      <w:pPr>
        <w:pStyle w:val="BodyText"/>
      </w:pPr>
      <w:r>
        <w:rPr>
          <w:iCs/>
          <w:i/>
        </w:rPr>
        <w:t xml:space="preserve">Print-ready and fillable: complete on paper or type directly into this document. Version 2.0.</w:t>
      </w:r>
    </w:p>
    <w:p>
      <w:r>
        <w:pict>
          <v:rect style="width:0;height:1.5pt" o:hralign="center" o:hrstd="t" o:hr="t"/>
        </w:pict>
      </w:r>
    </w:p>
    <w:bookmarkStart w:id="20" w:name="policy-statement"/>
    <w:p>
      <w:pPr>
        <w:pStyle w:val="Heading2"/>
      </w:pPr>
      <w:r>
        <w:t xml:space="preserve">Policy Statement</w:t>
      </w:r>
    </w:p>
    <w:p>
      <w:pPr>
        <w:pStyle w:val="FirstParagraph"/>
      </w:pPr>
      <w:r>
        <w:t xml:space="preserve">Grace House affirms and supports</w:t>
      </w:r>
      <w:r>
        <w:t xml:space="preserve"> </w:t>
      </w:r>
      <w:r>
        <w:rPr>
          <w:bCs/>
          <w:b/>
          <w:color w:val="8E4585"/>
        </w:rPr>
        <w:t xml:space="preserve">all FDA-approved medications</w:t>
      </w:r>
      <w:r>
        <w:t xml:space="preserve"> </w:t>
      </w:r>
      <w:r>
        <w:t xml:space="preserve">for substance use disorders and mental health conditions, including methadone, buprenorphine/naloxone (Suboxone), naltrexone (Vivitrol), and all prescribed psychiatric medications. Taking prescribed medication as directed is</w:t>
      </w:r>
      <w:r>
        <w:t xml:space="preserve"> </w:t>
      </w:r>
      <w:r>
        <w:rPr>
          <w:bCs/>
          <w:b/>
          <w:color w:val="8E4585"/>
        </w:rPr>
        <w:t xml:space="preserve">never</w:t>
      </w:r>
      <w:r>
        <w:t xml:space="preserve"> </w:t>
      </w:r>
      <w:r>
        <w:t xml:space="preserve">a program violation, never grounds for exclusion, and never treated as</w:t>
      </w:r>
      <w:r>
        <w:t xml:space="preserve"> </w:t>
      </w:r>
      <w:r>
        <w:t xml:space="preserve">“</w:t>
      </w:r>
      <w:r>
        <w:t xml:space="preserve">not really being in recovery.</w:t>
      </w:r>
      <w:r>
        <w:t xml:space="preserve">”</w:t>
      </w:r>
      <w:r>
        <w:t xml:space="preserve"> </w:t>
      </w:r>
      <w:r>
        <w:t xml:space="preserve">(Iowa HHS Checklist Item 6; NARR Standard: multiple pathways.)</w:t>
      </w:r>
    </w:p>
    <w:bookmarkEnd w:id="20"/>
    <w:bookmarkStart w:id="21" w:name="participant-responsibilities"/>
    <w:p>
      <w:pPr>
        <w:pStyle w:val="Heading2"/>
      </w:pPr>
      <w:r>
        <w:t xml:space="preserve">Participant Responsibilities</w:t>
      </w:r>
    </w:p>
    <w:p>
      <w:pPr>
        <w:numPr>
          <w:ilvl w:val="0"/>
          <w:numId w:val="1001"/>
        </w:numPr>
        <w:pStyle w:val="Compact"/>
      </w:pPr>
      <w:r>
        <w:t xml:space="preserve">Disclose all prescription medications to the House Manager at intake and whenever prescriptions change.</w:t>
      </w:r>
    </w:p>
    <w:p>
      <w:pPr>
        <w:numPr>
          <w:ilvl w:val="0"/>
          <w:numId w:val="1001"/>
        </w:numPr>
        <w:pStyle w:val="Compact"/>
      </w:pPr>
      <w:r>
        <w:t xml:space="preserve">Store all medications in your personal lockbox or the house medication safe. Controlled medications must be stored in the house safe with a logged count.</w:t>
      </w:r>
    </w:p>
    <w:p>
      <w:pPr>
        <w:numPr>
          <w:ilvl w:val="0"/>
          <w:numId w:val="1001"/>
        </w:numPr>
        <w:pStyle w:val="Compact"/>
      </w:pPr>
      <w:r>
        <w:t xml:space="preserve">Take medications only as prescribed; never share medication with any other resident — sharing is an immediate-removal safety violation.</w:t>
      </w:r>
    </w:p>
    <w:p>
      <w:pPr>
        <w:numPr>
          <w:ilvl w:val="0"/>
          <w:numId w:val="1001"/>
        </w:numPr>
        <w:pStyle w:val="Compact"/>
      </w:pPr>
      <w:r>
        <w:t xml:space="preserve">Dispose of expired/discontinued medication through the House Manager (take-back protocol).</w:t>
      </w:r>
    </w:p>
    <w:bookmarkEnd w:id="21"/>
    <w:bookmarkStart w:id="22" w:name="medication-disclosure-log"/>
    <w:p>
      <w:pPr>
        <w:pStyle w:val="Heading2"/>
      </w:pPr>
      <w:r>
        <w:t xml:space="preserve">Medication Disclosure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(lockbox/safe)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</w:tbl>
    <w:bookmarkEnd w:id="22"/>
    <w:bookmarkStart w:id="23" w:name="X211c4ade59cbd92f3da00781a8391dd4429955e"/>
    <w:p>
      <w:pPr>
        <w:pStyle w:val="Heading2"/>
      </w:pPr>
      <w:r>
        <w:t xml:space="preserve">Controlled Medication Count Log (house safe)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 initials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initials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bookmarkEnd w:id="23"/>
    <w:bookmarkStart w:id="24" w:name="drug-screening-interaction"/>
    <w:p>
      <w:pPr>
        <w:pStyle w:val="Heading2"/>
      </w:pPr>
      <w:r>
        <w:t xml:space="preserve">Drug Screening Interaction</w:t>
      </w:r>
    </w:p>
    <w:p>
      <w:pPr>
        <w:pStyle w:val="FirstParagraph"/>
      </w:pPr>
      <w:r>
        <w:t xml:space="preserve">Prescribed MAT/MOUD medications that appear on a drug screen are recorded as</w:t>
      </w:r>
      <w:r>
        <w:t xml:space="preserve"> </w:t>
      </w:r>
      <w:r>
        <w:rPr>
          <w:bCs/>
          <w:b/>
          <w:color w:val="8E4585"/>
        </w:rPr>
        <w:t xml:space="preserve">prescription-consistent results</w:t>
      </w:r>
      <w:r>
        <w:t xml:space="preserve">, not positives. Verification is by prescriber confirmation on file.</w:t>
      </w:r>
    </w:p>
    <w:p>
      <w:pPr>
        <w:pStyle w:val="BodyText"/>
      </w:pPr>
      <w:r>
        <w:t xml:space="preserve">Participant signature: ______________________________ Date: ____/____/______</w:t>
      </w:r>
    </w:p>
    <w:p>
      <w:pPr>
        <w:pStyle w:val="BodyText"/>
      </w:pPr>
      <w:r>
        <w:t xml:space="preserve">House Manager signature: ______________________________ Date: ____/____/______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5B2C6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color w:val="5B2C6F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5B2C6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5B2C6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5B2C6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5B2C6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5B2C6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5B2C6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2026-07-30T08:37:32Z</dcterms:created>
  <dcterms:modified xsi:type="dcterms:W3CDTF">2026-07-30T08:37:32Z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