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0a2d9ac4d04425b7d536739ab6aea780515f59f"/>
    <w:p>
      <w:pPr>
        <w:pStyle w:val="Heading1"/>
      </w:pPr>
      <w:r>
        <w:t xml:space="preserve">NARR Level II Self-Assessment &amp; Iowa HHS Checklist Alignment</w:t>
      </w:r>
    </w:p>
    <w:p>
      <w:pPr>
        <w:pStyle w:val="FirstParagraph"/>
      </w:pPr>
      <w:r>
        <w:rPr>
          <w:bCs/>
          <w:b/>
          <w:color w:val="8E4585"/>
        </w:rPr>
        <w:t xml:space="preserve">Grace House · Grace For Addictions</w:t>
      </w:r>
      <w:r>
        <w:t xml:space="preserve"> </w:t>
      </w:r>
      <w:r>
        <w:t xml:space="preserve">1311 9th Street, Des Moines, Iowa 50314 · Office: 515-220-8771 · Warmline: 515-310-DIAL (3425) · gracehouse@graceforaddictions.org</w:t>
      </w:r>
    </w:p>
    <w:p>
      <w:pPr>
        <w:pStyle w:val="BodyText"/>
      </w:pPr>
      <w:r>
        <w:rPr>
          <w:iCs/>
          <w:i/>
        </w:rPr>
        <w:t xml:space="preserve">Print-ready and fillable: complete on paper or type directly into this document. Version 2.0.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  <w:color w:val="8E4585"/>
        </w:rPr>
        <w:t xml:space="preserve">Status: Grace House is preparing for NARR Level II certification</w:t>
      </w:r>
      <w:r>
        <w:t xml:space="preserve"> </w:t>
      </w:r>
      <w:r>
        <w:t xml:space="preserve">through Iowa HHS (temporary certification via MCRSP, Missouri’s NARR affiliate). This is an internal readiness self-assessment, not a claim of current certification. Contact: recoveryhousing@hhs.iowa.gov.</w:t>
      </w:r>
    </w:p>
    <w:bookmarkStart w:id="20" w:name="X37578bdffc25323f3e0cdfabfd839fb18dc8d60"/>
    <w:p>
      <w:pPr>
        <w:pStyle w:val="Heading2"/>
      </w:pPr>
      <w:r>
        <w:t xml:space="preserve">Iowa HHS Recovery Housing Eligibility Checklist (Form 470-0025) Alignment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 House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operation as a recovery house ≥ 3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/ In progress toward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log, resident census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Family-like shared living centered on peer support &amp; service connection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Handbook Program Philosophy; house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address/location than clinical SUD/MH treatment 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1311 9th Street — no co-located clinical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Residents seek clinical treatment from provider of their choice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Handbook</w:t>
            </w:r>
            <w:r>
              <w:t xml:space="preserve"> </w:t>
            </w:r>
            <w:r>
              <w:t xml:space="preserve">“</w:t>
            </w:r>
            <w:r>
              <w:t xml:space="preserve">No Coerced Affiliation</w:t>
            </w:r>
            <w:r>
              <w:t xml:space="preserve">”</w:t>
            </w:r>
            <w:r>
              <w:t xml:space="preserve">; Participant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Faith-based elements allow services of choice in lieu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Multiple-pathways policy; church/Bible study count as chosen activities, never mandated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FDA-approved medications for SUD &amp; MH allowed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Medication &amp; MAT/MOUD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 residents have history of substance misuse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Yes</w:t>
            </w:r>
            <w:r>
              <w:t xml:space="preserve"> </w:t>
            </w:r>
            <w:r>
              <w:t xml:space="preserve">(recovery pathway) with documented family pathway addendum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Part B</w:t>
            </w:r>
          </w:p>
        </w:tc>
      </w:tr>
    </w:tbl>
    <w:bookmarkEnd w:id="20"/>
    <w:bookmarkStart w:id="21" w:name="Xc0d40990e67a025fc7a39ecfe9d7c5dda00cbed"/>
    <w:p>
      <w:pPr>
        <w:pStyle w:val="Heading2"/>
      </w:pPr>
      <w:r>
        <w:t xml:space="preserve">NARR Level II (Monitored) Readiness Snapshot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business entity; policies &amp; procedures; ethics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501(c)(3); Ops Manual; Code of Ethics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 fee schedule; resident receipts; no financial control of residents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Schedule &amp; Financial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Staffing/House Lead structure; drug screening; medication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Ops Manual; Screening Policy; Medication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 support; recovery plans; activity requirements; community meetings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Handbook; IRP forms; GH-RECOVERY-001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Safe/healthy residence; good neighbor policy; safety inspections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Neighbor Policy; Emergency Protocols; inspection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Grievance process; rights statement; no retaliation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Grievance Policy; Handbook rights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packet; incident reports; records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Forms Package; Incident Report System</w:t>
            </w:r>
          </w:p>
        </w:tc>
      </w:tr>
    </w:tbl>
    <w:bookmarkEnd w:id="21"/>
    <w:bookmarkStart w:id="22" w:name="pre-certification-punch-list"/>
    <w:p>
      <w:pPr>
        <w:pStyle w:val="Heading2"/>
      </w:pPr>
      <w:r>
        <w:t xml:space="preserve">Pre-Certification Punch List</w:t>
      </w:r>
    </w:p>
    <w:p>
      <w:pPr>
        <w:pStyle w:val="FirstParagraph"/>
      </w:pPr>
      <w:r>
        <w:t xml:space="preserve">[ ] 3-month operations evidence assembled [ ] Certificate of insurance current [ ] Executed lease/authority documents in GFA’s name [ ] Fire/safety inspection dated within 12 months [ ] Naloxone + first aid stocked and logged [ ] Staff ethics signatures on file [ ] MCRSP application submitted via recoveryhousing@hhs.iowa.gov</w:t>
      </w:r>
    </w:p>
    <w:p>
      <w:pPr>
        <w:pStyle w:val="BodyText"/>
      </w:pPr>
      <w:r>
        <w:t xml:space="preserve">Completed by: ______________________ Date: ______ ED review: ______________________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5B2C6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  <w:color w:val="5B2C6F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5B2C6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5B2C6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5B2C6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5B2C6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5B2C6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5B2C6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2026-07-30T08:37:33Z</dcterms:created>
  <dcterms:modified xsi:type="dcterms:W3CDTF">2026-07-30T08:37:33Z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