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400"/>
              <w:bottom w:type="dxa" w:w="400"/>
              <w:right w:type="dxa" w:w="400"/>
            </w:tcMar>
          </w:tcPr>
          <w:p>
            <w:pPr>
              <w:spacing w:after="50"/>
              <w:jc w:val="center"/>
            </w:pPr>
            <w:r>
              <w:rPr>
                <w:rFonts w:ascii="Arial" w:cs="Arial" w:eastAsia="Arial" w:hAnsi="Arial"/>
                <w:b/>
                <w:bCs/>
                <w:color w:val="FFFFFF"/>
                <w:sz w:val="44"/>
                <w:szCs w:val="44"/>
              </w:rPr>
              <w:t xml:space="preserve">VRCC RECOVERY RESIDENCE PROVIDER HUB</w:t>
            </w:r>
          </w:p>
          <w:p>
            <w:pPr>
              <w:spacing w:after="50"/>
              <w:jc w:val="center"/>
            </w:pPr>
            <w:r>
              <w:rPr>
                <w:rFonts w:ascii="Arial" w:cs="Arial" w:eastAsia="Arial" w:hAnsi="Arial"/>
                <w:b/>
                <w:bCs/>
                <w:color w:val="D4A017"/>
                <w:sz w:val="30"/>
                <w:szCs w:val="30"/>
              </w:rPr>
              <w:t xml:space="preserve">Architecture, Integration Plan &amp; Build Specification</w:t>
            </w:r>
          </w:p>
          <w:p>
            <w:pPr>
              <w:spacing w:after="0" w:before="100"/>
              <w:jc w:val="center"/>
            </w:pPr>
            <w:r>
              <w:rPr>
                <w:rFonts w:ascii="Arial" w:cs="Arial" w:eastAsia="Arial" w:hAnsi="Arial"/>
                <w:color w:val="C0D0E0"/>
                <w:sz w:val="19"/>
                <w:szCs w:val="19"/>
              </w:rPr>
              <w:t xml:space="preserve">Grace For Addictions  ·  Virtual Recovery Community Center  ·  2026</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EXECUTIVE SUMMARY</w:t>
            </w:r>
          </w:p>
        </w:tc>
      </w:tr>
    </w:tbl>
    <w:p>
      <w:pPr>
        <w:spacing w:after="0" w:before="100"/>
      </w:pPr>
      <w:r>
        <w:t xml:space="preserve"/>
      </w:r>
    </w:p>
    <w:p>
      <w:pPr>
        <w:spacing w:after="60" w:before="60"/>
      </w:pPr>
      <w:r>
        <w:rPr>
          <w:rFonts w:ascii="Arial" w:cs="Arial" w:eastAsia="Arial" w:hAnsi="Arial"/>
          <w:sz w:val="21"/>
          <w:szCs w:val="21"/>
        </w:rPr>
        <w:t xml:space="preserve">The VRCC Recovery Residence Provider Hub is a purpose-built module within the Virtual Recovery Community Center that serves three simultaneous audiences: (1) recovery residence operators managing daily program functions and NARR compliance; (2) program participants navigating their recovery journey; and (3) the public seeking quality recovery housing in Iowa. It replaces fragmented documentation, manual tracking, and siloed reporting with a unified digital environment grounded in GFA's no-stigma, person-first, trauma-informed philosophy.</w:t>
      </w:r>
    </w:p>
    <w:p>
      <w:pPr>
        <w:spacing w:after="0" w:before="80"/>
      </w:pPr>
      <w:r>
        <w:t xml:space="preserve"/>
      </w:r>
    </w:p>
    <w:p>
      <w:pPr>
        <w:spacing w:after="60" w:before="60"/>
      </w:pPr>
      <w:r>
        <w:rPr>
          <w:rFonts w:ascii="Arial" w:cs="Arial" w:eastAsia="Arial" w:hAnsi="Arial"/>
          <w:sz w:val="21"/>
          <w:szCs w:val="21"/>
        </w:rPr>
        <w:t xml:space="preserve">The Hub seeds with two certified residences: Grace House (women's program, Des Moines) and Ernest &amp; Johnnie White Recovery House (men's program, 1414 12th Street, Des Moines). Each residence has a complete operator-facing management environment and a public-facing profile. The architecture supports unlimited future residence additions under the same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8"/>
              <w:bottom w:val="none" w:color="FFFFFF" w:sz="0"/>
              <w:right w:val="none" w:color="FFFFFF" w:sz="0"/>
            </w:tcBorders>
            <w:shd w:fill="EEF2F7" w:val="clear"/>
            <w:tcMar>
              <w:top w:type="dxa" w:w="110"/>
              <w:left w:type="dxa" w:w="280"/>
              <w:bottom w:type="dxa" w:w="110"/>
              <w:right w:type="dxa" w:w="160"/>
            </w:tcMar>
          </w:tcPr>
          <w:p>
            <w:pPr>
              <w:spacing w:after="40" w:before="0"/>
            </w:pPr>
            <w:r>
              <w:rPr>
                <w:rFonts w:ascii="Arial" w:cs="Arial" w:eastAsia="Arial" w:hAnsi="Arial"/>
                <w:b/>
                <w:bCs/>
                <w:color w:val="B8860B"/>
                <w:sz w:val="21"/>
                <w:szCs w:val="21"/>
              </w:rPr>
              <w:t xml:space="preserve">Design Philosophy</w:t>
            </w:r>
          </w:p>
          <w:p>
            <w:pPr>
              <w:spacing w:after="0" w:before="0"/>
            </w:pPr>
            <w:r>
              <w:rPr>
                <w:rFonts w:ascii="Arial" w:cs="Arial" w:eastAsia="Arial" w:hAnsi="Arial"/>
                <w:sz w:val="20"/>
                <w:szCs w:val="20"/>
              </w:rPr>
              <w:t xml:space="preserve">Better than a sobriety hub. More efficient than a checklist. More intuitive than any platform currently serving Iowa recovery housing. Every screen, every field, every alert exists for one reason: to support men and women in recovery while protecting the operators who serve them. NARR compliance is not a burden — it is built into daily workflow so it happens automatically.</w:t>
            </w:r>
          </w:p>
        </w:tc>
      </w:tr>
    </w:tbl>
    <w:p>
      <w:pPr>
        <w:spacing w:after="0" w:before="200"/>
      </w:pPr>
      <w:r>
        <w:t xml:space="preserve"/>
      </w:r>
    </w:p>
    <w:p>
      <w:pPr>
        <w:pBdr>
          <w:bottom w:val="single" w:color="1B2A4A" w:sz="8" w:space="4"/>
        </w:pBdr>
        <w:spacing w:after="140" w:before="340"/>
      </w:pPr>
      <w:r>
        <w:rPr>
          <w:rFonts w:ascii="Arial" w:cs="Arial" w:eastAsia="Arial" w:hAnsi="Arial"/>
          <w:b/>
          <w:bCs/>
          <w:color w:val="1B2A4A"/>
          <w:sz w:val="30"/>
          <w:szCs w:val="30"/>
        </w:rPr>
        <w:t xml:space="preserve">Section 1 — Complete Needs Assessment: What Exists vs. What Is Still Needed</w:t>
      </w:r>
    </w:p>
    <w:p>
      <w:pPr>
        <w:spacing w:after="60" w:before="60"/>
      </w:pPr>
      <w:r>
        <w:rPr>
          <w:rFonts w:ascii="Arial" w:cs="Arial" w:eastAsia="Arial" w:hAnsi="Arial"/>
          <w:sz w:val="21"/>
          <w:szCs w:val="21"/>
        </w:rPr>
        <w:t xml:space="preserve">Based on audit of all documents produced, the NARR Standard 3.0, Iowa HHS Recovery Housing Protocol (June 2025), SAMHSA housing guidance, VRCC database schema v6, and the CCAR 'Stay in Your Lane' framework, the following gap analysis drives the Hub build specification.</w:t>
      </w:r>
    </w:p>
    <w:p>
      <w:pPr>
        <w:spacing w:after="0" w:before="120"/>
      </w:pPr>
      <w:r>
        <w:t xml:space="preserve"/>
      </w:r>
    </w:p>
    <w:p>
      <w:pPr>
        <w:spacing w:after="100" w:before="240"/>
      </w:pPr>
      <w:r>
        <w:rPr>
          <w:rFonts w:ascii="Arial" w:cs="Arial" w:eastAsia="Arial" w:hAnsi="Arial"/>
          <w:b/>
          <w:bCs/>
          <w:color w:val="0D6B74"/>
          <w:sz w:val="24"/>
          <w:szCs w:val="24"/>
        </w:rPr>
        <w:t xml:space="preserve">What Is Built and Current</w:t>
      </w:r>
    </w:p>
    <w:p>
      <w:pPr>
        <w:spacing w:after="70" w:before="180"/>
      </w:pPr>
      <w:r>
        <w:rPr>
          <w:rFonts w:ascii="Arial" w:cs="Arial" w:eastAsia="Arial" w:hAnsi="Arial"/>
          <w:b/>
          <w:bCs/>
          <w:color w:val="B8860B"/>
          <w:sz w:val="22"/>
          <w:szCs w:val="22"/>
        </w:rPr>
        <w:t xml:space="preserve">Legal &amp; Governance Layer (Complete)</w:t>
      </w:r>
    </w:p>
    <w:p>
      <w:pPr>
        <w:pStyle w:val="ListParagraph"/>
        <w:numPr>
          <w:ilvl w:val="0"/>
          <w:numId w:val="2"/>
        </w:numPr>
        <w:spacing w:after="50" w:before="50"/>
      </w:pPr>
      <w:r>
        <w:rPr>
          <w:rFonts w:ascii="Arial" w:cs="Arial" w:eastAsia="Arial" w:hAnsi="Arial"/>
          <w:sz w:val="21"/>
          <w:szCs w:val="21"/>
        </w:rPr>
        <w:t xml:space="preserve">Entity Structure &amp; NARR Compliance Disclosure (3-entity structure documented)</w:t>
      </w:r>
    </w:p>
    <w:p>
      <w:pPr>
        <w:pStyle w:val="ListParagraph"/>
        <w:numPr>
          <w:ilvl w:val="0"/>
          <w:numId w:val="2"/>
        </w:numPr>
        <w:spacing w:after="50" w:before="50"/>
      </w:pPr>
      <w:r>
        <w:rPr>
          <w:rFonts w:ascii="Arial" w:cs="Arial" w:eastAsia="Arial" w:hAnsi="Arial"/>
          <w:sz w:val="21"/>
          <w:szCs w:val="21"/>
        </w:rPr>
        <w:t xml:space="preserve">W&amp;W Properties Commercial Property Lease (NARR-referenced, recovery housing-specific)</w:t>
      </w:r>
    </w:p>
    <w:p>
      <w:pPr>
        <w:pStyle w:val="ListParagraph"/>
        <w:numPr>
          <w:ilvl w:val="0"/>
          <w:numId w:val="2"/>
        </w:numPr>
        <w:spacing w:after="50" w:before="50"/>
      </w:pPr>
      <w:r>
        <w:rPr>
          <w:rFonts w:ascii="Arial" w:cs="Arial" w:eastAsia="Arial" w:hAnsi="Arial"/>
          <w:sz w:val="21"/>
          <w:szCs w:val="21"/>
        </w:rPr>
        <w:t xml:space="preserve">EJWRH Professional Services Agreement v4 (GFA as program operator, tiered fees, installment plan)</w:t>
      </w:r>
    </w:p>
    <w:p>
      <w:pPr>
        <w:pStyle w:val="ListParagraph"/>
        <w:numPr>
          <w:ilvl w:val="0"/>
          <w:numId w:val="2"/>
        </w:numPr>
        <w:spacing w:after="50" w:before="50"/>
      </w:pPr>
      <w:r>
        <w:rPr>
          <w:rFonts w:ascii="Arial" w:cs="Arial" w:eastAsia="Arial" w:hAnsi="Arial"/>
          <w:sz w:val="21"/>
          <w:szCs w:val="21"/>
        </w:rPr>
        <w:t xml:space="preserve">Legal Authority for Emergency Removal (Iowa Code §§ 562A.5, 562A.27A, Admin. Code § 481-65.16(5))</w:t>
      </w:r>
    </w:p>
    <w:p>
      <w:pPr>
        <w:pStyle w:val="ListParagraph"/>
        <w:numPr>
          <w:ilvl w:val="0"/>
          <w:numId w:val="2"/>
        </w:numPr>
        <w:spacing w:after="50" w:before="50"/>
      </w:pPr>
      <w:r>
        <w:rPr>
          <w:rFonts w:ascii="Arial" w:cs="Arial" w:eastAsia="Arial" w:hAnsi="Arial"/>
          <w:sz w:val="21"/>
          <w:szCs w:val="21"/>
        </w:rPr>
        <w:t xml:space="preserve">Grace House Complete Operational System v2 (address-generic women's master, 8 sections)</w:t>
      </w:r>
    </w:p>
    <w:p>
      <w:pPr>
        <w:pStyle w:val="ListParagraph"/>
        <w:numPr>
          <w:ilvl w:val="0"/>
          <w:numId w:val="2"/>
        </w:numPr>
        <w:spacing w:after="50" w:before="50"/>
      </w:pPr>
      <w:r>
        <w:rPr>
          <w:rFonts w:ascii="Arial" w:cs="Arial" w:eastAsia="Arial" w:hAnsi="Arial"/>
          <w:sz w:val="21"/>
          <w:szCs w:val="21"/>
        </w:rPr>
        <w:t xml:space="preserve">EJWRH Complete Operational System (men's program, 8 sections)</w:t>
      </w:r>
    </w:p>
    <w:p>
      <w:pPr>
        <w:spacing w:after="0" w:before="80"/>
      </w:pPr>
      <w:r>
        <w:t xml:space="preserve"/>
      </w:r>
    </w:p>
    <w:p>
      <w:pPr>
        <w:spacing w:after="70" w:before="180"/>
      </w:pPr>
      <w:r>
        <w:rPr>
          <w:rFonts w:ascii="Arial" w:cs="Arial" w:eastAsia="Arial" w:hAnsi="Arial"/>
          <w:b/>
          <w:bCs/>
          <w:color w:val="B8860B"/>
          <w:sz w:val="22"/>
          <w:szCs w:val="22"/>
        </w:rPr>
        <w:t xml:space="preserve">Participant-Facing Documents (Complete for EJWRH)</w:t>
      </w:r>
    </w:p>
    <w:p>
      <w:pPr>
        <w:pStyle w:val="ListParagraph"/>
        <w:numPr>
          <w:ilvl w:val="0"/>
          <w:numId w:val="2"/>
        </w:numPr>
        <w:spacing w:after="50" w:before="50"/>
      </w:pPr>
      <w:r>
        <w:rPr>
          <w:rFonts w:ascii="Arial" w:cs="Arial" w:eastAsia="Arial" w:hAnsi="Arial"/>
          <w:sz w:val="21"/>
          <w:szCs w:val="21"/>
        </w:rPr>
        <w:t xml:space="preserve">Resident Participant Agreement (tiered fees, legal framework, grandfathered rate)</w:t>
      </w:r>
    </w:p>
    <w:p>
      <w:pPr>
        <w:pStyle w:val="ListParagraph"/>
        <w:numPr>
          <w:ilvl w:val="0"/>
          <w:numId w:val="2"/>
        </w:numPr>
        <w:spacing w:after="50" w:before="50"/>
      </w:pPr>
      <w:r>
        <w:rPr>
          <w:rFonts w:ascii="Arial" w:cs="Arial" w:eastAsia="Arial" w:hAnsi="Arial"/>
          <w:sz w:val="21"/>
          <w:szCs w:val="21"/>
        </w:rPr>
        <w:t xml:space="preserve">Welcome Letter &amp; Orientation Packet</w:t>
      </w:r>
    </w:p>
    <w:p>
      <w:pPr>
        <w:pStyle w:val="ListParagraph"/>
        <w:numPr>
          <w:ilvl w:val="0"/>
          <w:numId w:val="2"/>
        </w:numPr>
        <w:spacing w:after="50" w:before="50"/>
      </w:pPr>
      <w:r>
        <w:rPr>
          <w:rFonts w:ascii="Arial" w:cs="Arial" w:eastAsia="Arial" w:hAnsi="Arial"/>
          <w:sz w:val="21"/>
          <w:szCs w:val="21"/>
        </w:rPr>
        <w:t xml:space="preserve">House Rules &amp; Community Expectations (posted document)</w:t>
      </w:r>
    </w:p>
    <w:p>
      <w:pPr>
        <w:pStyle w:val="ListParagraph"/>
        <w:numPr>
          <w:ilvl w:val="0"/>
          <w:numId w:val="2"/>
        </w:numPr>
        <w:spacing w:after="50" w:before="50"/>
      </w:pPr>
      <w:r>
        <w:rPr>
          <w:rFonts w:ascii="Arial" w:cs="Arial" w:eastAsia="Arial" w:hAnsi="Arial"/>
          <w:sz w:val="21"/>
          <w:szCs w:val="21"/>
        </w:rPr>
        <w:t xml:space="preserve">Resident Rights Card</w:t>
      </w:r>
    </w:p>
    <w:p>
      <w:pPr>
        <w:pStyle w:val="ListParagraph"/>
        <w:numPr>
          <w:ilvl w:val="0"/>
          <w:numId w:val="2"/>
        </w:numPr>
        <w:spacing w:after="50" w:before="50"/>
      </w:pPr>
      <w:r>
        <w:rPr>
          <w:rFonts w:ascii="Arial" w:cs="Arial" w:eastAsia="Arial" w:hAnsi="Arial"/>
          <w:sz w:val="21"/>
          <w:szCs w:val="21"/>
        </w:rPr>
        <w:t xml:space="preserve">Phase Advancement Agreement</w:t>
      </w:r>
    </w:p>
    <w:p>
      <w:pPr>
        <w:spacing w:after="0" w:before="80"/>
      </w:pPr>
      <w:r>
        <w:t xml:space="preserve"/>
      </w:r>
    </w:p>
    <w:p>
      <w:pPr>
        <w:spacing w:after="70" w:before="180"/>
      </w:pPr>
      <w:r>
        <w:rPr>
          <w:rFonts w:ascii="Arial" w:cs="Arial" w:eastAsia="Arial" w:hAnsi="Arial"/>
          <w:b/>
          <w:bCs/>
          <w:color w:val="B8860B"/>
          <w:sz w:val="22"/>
          <w:szCs w:val="22"/>
        </w:rPr>
        <w:t xml:space="preserve">Referral Partner Documents (Complete for EJWRH)</w:t>
      </w:r>
    </w:p>
    <w:p>
      <w:pPr>
        <w:pStyle w:val="ListParagraph"/>
        <w:numPr>
          <w:ilvl w:val="0"/>
          <w:numId w:val="2"/>
        </w:numPr>
        <w:spacing w:after="50" w:before="50"/>
      </w:pPr>
      <w:r>
        <w:rPr>
          <w:rFonts w:ascii="Arial" w:cs="Arial" w:eastAsia="Arial" w:hAnsi="Arial"/>
          <w:sz w:val="21"/>
          <w:szCs w:val="21"/>
        </w:rPr>
        <w:t xml:space="preserve">Program Overview &amp; Referral Guide (for IDOC, probation, parole, treatment)</w:t>
      </w:r>
    </w:p>
    <w:p>
      <w:pPr>
        <w:pStyle w:val="ListParagraph"/>
        <w:numPr>
          <w:ilvl w:val="0"/>
          <w:numId w:val="2"/>
        </w:numPr>
        <w:spacing w:after="50" w:before="50"/>
      </w:pPr>
      <w:r>
        <w:rPr>
          <w:rFonts w:ascii="Arial" w:cs="Arial" w:eastAsia="Arial" w:hAnsi="Arial"/>
          <w:sz w:val="21"/>
          <w:szCs w:val="21"/>
        </w:rPr>
        <w:t xml:space="preserve">Participant Referral Form</w:t>
      </w:r>
    </w:p>
    <w:p>
      <w:pPr>
        <w:pStyle w:val="ListParagraph"/>
        <w:numPr>
          <w:ilvl w:val="0"/>
          <w:numId w:val="2"/>
        </w:numPr>
        <w:spacing w:after="50" w:before="50"/>
      </w:pPr>
      <w:r>
        <w:rPr>
          <w:rFonts w:ascii="Arial" w:cs="Arial" w:eastAsia="Arial" w:hAnsi="Arial"/>
          <w:sz w:val="21"/>
          <w:szCs w:val="21"/>
        </w:rPr>
        <w:t xml:space="preserve">Supervision Compliance Report</w:t>
      </w:r>
    </w:p>
    <w:p>
      <w:pPr>
        <w:spacing w:after="0" w:before="80"/>
      </w:pPr>
      <w:r>
        <w:t xml:space="preserve"/>
      </w:r>
    </w:p>
    <w:p>
      <w:pPr>
        <w:spacing w:after="70" w:before="180"/>
      </w:pPr>
      <w:r>
        <w:rPr>
          <w:rFonts w:ascii="Arial" w:cs="Arial" w:eastAsia="Arial" w:hAnsi="Arial"/>
          <w:b/>
          <w:bCs/>
          <w:color w:val="B8860B"/>
          <w:sz w:val="22"/>
          <w:szCs w:val="22"/>
        </w:rPr>
        <w:t xml:space="preserve">VRCC Database Schema (Existing — v6)</w:t>
      </w:r>
    </w:p>
    <w:p>
      <w:pPr>
        <w:pStyle w:val="ListParagraph"/>
        <w:numPr>
          <w:ilvl w:val="0"/>
          <w:numId w:val="2"/>
        </w:numPr>
        <w:spacing w:after="50" w:before="50"/>
      </w:pPr>
      <w:r>
        <w:rPr>
          <w:rFonts w:ascii="Arial" w:cs="Arial" w:eastAsia="Arial" w:hAnsi="Arial"/>
          <w:sz w:val="21"/>
          <w:szCs w:val="21"/>
        </w:rPr>
        <w:t xml:space="preserve">107 tables across 9 schemas (COMMUNITY, CORE, ENGAGEMENT, ICARE, JUSTICE, PERSONALITY, REPORTING, SLOGANS, SOCIAL)</w:t>
      </w:r>
    </w:p>
    <w:p>
      <w:pPr>
        <w:pStyle w:val="ListParagraph"/>
        <w:numPr>
          <w:ilvl w:val="0"/>
          <w:numId w:val="2"/>
        </w:numPr>
        <w:spacing w:after="50" w:before="50"/>
      </w:pPr>
      <w:r>
        <w:rPr>
          <w:rFonts w:ascii="Arial" w:cs="Arial" w:eastAsia="Arial" w:hAnsi="Arial"/>
          <w:sz w:val="21"/>
          <w:szCs w:val="21"/>
        </w:rPr>
        <w:t xml:space="preserve">Participant tracking, coaching sessions, BARC-10 &amp; ACE assessments, ICARE model, justice involvement</w:t>
      </w:r>
    </w:p>
    <w:p>
      <w:pPr>
        <w:pStyle w:val="ListParagraph"/>
        <w:numPr>
          <w:ilvl w:val="0"/>
          <w:numId w:val="2"/>
        </w:numPr>
        <w:spacing w:after="50" w:before="50"/>
      </w:pPr>
      <w:r>
        <w:rPr>
          <w:rFonts w:ascii="Arial" w:cs="Arial" w:eastAsia="Arial" w:hAnsi="Arial"/>
          <w:sz w:val="21"/>
          <w:szCs w:val="21"/>
        </w:rPr>
        <w:t xml:space="preserve">Narcan tracking, external meetings, referrals, outcomes, Exhibit E reporting</w:t>
      </w:r>
    </w:p>
    <w:p>
      <w:pPr>
        <w:pStyle w:val="ListParagraph"/>
        <w:numPr>
          <w:ilvl w:val="0"/>
          <w:numId w:val="2"/>
        </w:numPr>
        <w:spacing w:after="50" w:before="50"/>
      </w:pPr>
      <w:r>
        <w:rPr>
          <w:rFonts w:ascii="Arial" w:cs="Arial" w:eastAsia="Arial" w:hAnsi="Arial"/>
          <w:sz w:val="21"/>
          <w:szCs w:val="21"/>
        </w:rPr>
        <w:t xml:space="preserve">Personality profiling, wellness ratings, slogan library</w:t>
      </w:r>
    </w:p>
    <w:p>
      <w:pPr>
        <w:spacing w:after="0" w:before="120"/>
      </w:pPr>
      <w:r>
        <w:t xml:space="preserve"/>
      </w:r>
    </w:p>
    <w:p>
      <w:pPr>
        <w:spacing w:after="100" w:before="240"/>
      </w:pPr>
      <w:r>
        <w:rPr>
          <w:rFonts w:ascii="Arial" w:cs="Arial" w:eastAsia="Arial" w:hAnsi="Arial"/>
          <w:b/>
          <w:bCs/>
          <w:color w:val="5B2C6F"/>
          <w:sz w:val="24"/>
          <w:szCs w:val="24"/>
        </w:rPr>
        <w:t xml:space="preserve">What Is Still Needed — Gap Analysis</w:t>
      </w:r>
    </w:p>
    <w:p>
      <w:pPr>
        <w:spacing w:after="70" w:before="180"/>
      </w:pPr>
      <w:r>
        <w:rPr>
          <w:rFonts w:ascii="Arial" w:cs="Arial" w:eastAsia="Arial" w:hAnsi="Arial"/>
          <w:b/>
          <w:bCs/>
          <w:color w:val="B8860B"/>
          <w:sz w:val="22"/>
          <w:szCs w:val="22"/>
        </w:rPr>
        <w:t xml:space="preserve">1. Recovery Residence Provider Hub Module (NEW)</w:t>
      </w:r>
    </w:p>
    <w:p>
      <w:pPr>
        <w:pStyle w:val="ListParagraph"/>
        <w:numPr>
          <w:ilvl w:val="0"/>
          <w:numId w:val="3"/>
        </w:numPr>
        <w:spacing w:after="50" w:before="50"/>
      </w:pPr>
      <w:r>
        <w:rPr>
          <w:rFonts w:ascii="Arial" w:cs="Arial" w:eastAsia="Arial" w:hAnsi="Arial"/>
          <w:sz w:val="21"/>
          <w:szCs w:val="21"/>
        </w:rPr>
        <w:t xml:space="preserve">Residence Profile data model — not in current v6 schema</w:t>
      </w:r>
    </w:p>
    <w:p>
      <w:pPr>
        <w:pStyle w:val="ListParagraph"/>
        <w:numPr>
          <w:ilvl w:val="0"/>
          <w:numId w:val="3"/>
        </w:numPr>
        <w:spacing w:after="50" w:before="50"/>
      </w:pPr>
      <w:r>
        <w:rPr>
          <w:rFonts w:ascii="Arial" w:cs="Arial" w:eastAsia="Arial" w:hAnsi="Arial"/>
          <w:sz w:val="21"/>
          <w:szCs w:val="21"/>
        </w:rPr>
        <w:t xml:space="preserve">Bed management system — referenced in VRCC spec but not in database schema</w:t>
      </w:r>
    </w:p>
    <w:p>
      <w:pPr>
        <w:pStyle w:val="ListParagraph"/>
        <w:numPr>
          <w:ilvl w:val="0"/>
          <w:numId w:val="3"/>
        </w:numPr>
        <w:spacing w:after="50" w:before="50"/>
      </w:pPr>
      <w:r>
        <w:rPr>
          <w:rFonts w:ascii="Arial" w:cs="Arial" w:eastAsia="Arial" w:hAnsi="Arial"/>
          <w:sz w:val="21"/>
          <w:szCs w:val="21"/>
        </w:rPr>
        <w:t xml:space="preserve">NARR compliance tracker — 31 standards across 4 domains, automated status tracking</w:t>
      </w:r>
    </w:p>
    <w:p>
      <w:pPr>
        <w:pStyle w:val="ListParagraph"/>
        <w:numPr>
          <w:ilvl w:val="0"/>
          <w:numId w:val="3"/>
        </w:numPr>
        <w:spacing w:after="50" w:before="50"/>
      </w:pPr>
      <w:r>
        <w:rPr>
          <w:rFonts w:ascii="Arial" w:cs="Arial" w:eastAsia="Arial" w:hAnsi="Arial"/>
          <w:sz w:val="21"/>
          <w:szCs w:val="21"/>
        </w:rPr>
        <w:t xml:space="preserve">Iowa HHS eligibility checklist tracker (7-item, June 2025)</w:t>
      </w:r>
    </w:p>
    <w:p>
      <w:pPr>
        <w:pStyle w:val="ListParagraph"/>
        <w:numPr>
          <w:ilvl w:val="0"/>
          <w:numId w:val="3"/>
        </w:numPr>
        <w:spacing w:after="50" w:before="50"/>
      </w:pPr>
      <w:r>
        <w:rPr>
          <w:rFonts w:ascii="Arial" w:cs="Arial" w:eastAsia="Arial" w:hAnsi="Arial"/>
          <w:sz w:val="21"/>
          <w:szCs w:val="21"/>
        </w:rPr>
        <w:t xml:space="preserve">Drug testing log integrated with participant records</w:t>
      </w:r>
    </w:p>
    <w:p>
      <w:pPr>
        <w:pStyle w:val="ListParagraph"/>
        <w:numPr>
          <w:ilvl w:val="0"/>
          <w:numId w:val="3"/>
        </w:numPr>
        <w:spacing w:after="50" w:before="50"/>
      </w:pPr>
      <w:r>
        <w:rPr>
          <w:rFonts w:ascii="Arial" w:cs="Arial" w:eastAsia="Arial" w:hAnsi="Arial"/>
          <w:sz w:val="21"/>
          <w:szCs w:val="21"/>
        </w:rPr>
        <w:t xml:space="preserve">House meeting log with attendance tracking</w:t>
      </w:r>
    </w:p>
    <w:p>
      <w:pPr>
        <w:pStyle w:val="ListParagraph"/>
        <w:numPr>
          <w:ilvl w:val="0"/>
          <w:numId w:val="3"/>
        </w:numPr>
        <w:spacing w:after="50" w:before="50"/>
      </w:pPr>
      <w:r>
        <w:rPr>
          <w:rFonts w:ascii="Arial" w:cs="Arial" w:eastAsia="Arial" w:hAnsi="Arial"/>
          <w:sz w:val="21"/>
          <w:szCs w:val="21"/>
        </w:rPr>
        <w:t xml:space="preserve">Chore assignment and completion tracking</w:t>
      </w:r>
    </w:p>
    <w:p>
      <w:pPr>
        <w:pStyle w:val="ListParagraph"/>
        <w:numPr>
          <w:ilvl w:val="0"/>
          <w:numId w:val="3"/>
        </w:numPr>
        <w:spacing w:after="50" w:before="50"/>
      </w:pPr>
      <w:r>
        <w:rPr>
          <w:rFonts w:ascii="Arial" w:cs="Arial" w:eastAsia="Arial" w:hAnsi="Arial"/>
          <w:sz w:val="21"/>
          <w:szCs w:val="21"/>
        </w:rPr>
        <w:t xml:space="preserve">Incident report module (4-level classification system)</w:t>
      </w:r>
    </w:p>
    <w:p>
      <w:pPr>
        <w:pStyle w:val="ListParagraph"/>
        <w:numPr>
          <w:ilvl w:val="0"/>
          <w:numId w:val="3"/>
        </w:numPr>
        <w:spacing w:after="50" w:before="50"/>
      </w:pPr>
      <w:r>
        <w:rPr>
          <w:rFonts w:ascii="Arial" w:cs="Arial" w:eastAsia="Arial" w:hAnsi="Arial"/>
          <w:sz w:val="21"/>
          <w:szCs w:val="21"/>
        </w:rPr>
        <w:t xml:space="preserve">Phase advancement tracking linked to participant record</w:t>
      </w:r>
    </w:p>
    <w:p>
      <w:pPr>
        <w:pStyle w:val="ListParagraph"/>
        <w:numPr>
          <w:ilvl w:val="0"/>
          <w:numId w:val="3"/>
        </w:numPr>
        <w:spacing w:after="50" w:before="50"/>
      </w:pPr>
      <w:r>
        <w:rPr>
          <w:rFonts w:ascii="Arial" w:cs="Arial" w:eastAsia="Arial" w:hAnsi="Arial"/>
          <w:sz w:val="21"/>
          <w:szCs w:val="21"/>
        </w:rPr>
        <w:t xml:space="preserve">Discharge documentation module with resource referral generation</w:t>
      </w:r>
    </w:p>
    <w:p>
      <w:pPr>
        <w:pStyle w:val="ListParagraph"/>
        <w:numPr>
          <w:ilvl w:val="0"/>
          <w:numId w:val="3"/>
        </w:numPr>
        <w:spacing w:after="50" w:before="50"/>
      </w:pPr>
      <w:r>
        <w:rPr>
          <w:rFonts w:ascii="Arial" w:cs="Arial" w:eastAsia="Arial" w:hAnsi="Arial"/>
          <w:sz w:val="21"/>
          <w:szCs w:val="21"/>
        </w:rPr>
        <w:t xml:space="preserve">Public-facing residence profile (searchable directory)</w:t>
      </w:r>
    </w:p>
    <w:p>
      <w:pPr>
        <w:pStyle w:val="ListParagraph"/>
        <w:numPr>
          <w:ilvl w:val="0"/>
          <w:numId w:val="3"/>
        </w:numPr>
        <w:spacing w:after="50" w:before="50"/>
      </w:pPr>
      <w:r>
        <w:rPr>
          <w:rFonts w:ascii="Arial" w:cs="Arial" w:eastAsia="Arial" w:hAnsi="Arial"/>
          <w:sz w:val="21"/>
          <w:szCs w:val="21"/>
        </w:rPr>
        <w:t xml:space="preserve">Waitlist management with priority queue</w:t>
      </w:r>
    </w:p>
    <w:p>
      <w:pPr>
        <w:spacing w:after="0" w:before="80"/>
      </w:pPr>
      <w:r>
        <w:t xml:space="preserve"/>
      </w:r>
    </w:p>
    <w:p>
      <w:pPr>
        <w:spacing w:after="70" w:before="180"/>
      </w:pPr>
      <w:r>
        <w:rPr>
          <w:rFonts w:ascii="Arial" w:cs="Arial" w:eastAsia="Arial" w:hAnsi="Arial"/>
          <w:b/>
          <w:bCs/>
          <w:color w:val="B8860B"/>
          <w:sz w:val="22"/>
          <w:szCs w:val="22"/>
        </w:rPr>
        <w:t xml:space="preserve">2. Participant Self-Service Portal (NEW)</w:t>
      </w:r>
    </w:p>
    <w:p>
      <w:pPr>
        <w:pStyle w:val="ListParagraph"/>
        <w:numPr>
          <w:ilvl w:val="0"/>
          <w:numId w:val="3"/>
        </w:numPr>
        <w:spacing w:after="50" w:before="50"/>
      </w:pPr>
      <w:r>
        <w:rPr>
          <w:rFonts w:ascii="Arial" w:cs="Arial" w:eastAsia="Arial" w:hAnsi="Arial"/>
          <w:sz w:val="21"/>
          <w:szCs w:val="21"/>
        </w:rPr>
        <w:t xml:space="preserve">Daily check-in (mood, cravings, recovery focus, gratitude)</w:t>
      </w:r>
    </w:p>
    <w:p>
      <w:pPr>
        <w:pStyle w:val="ListParagraph"/>
        <w:numPr>
          <w:ilvl w:val="0"/>
          <w:numId w:val="3"/>
        </w:numPr>
        <w:spacing w:after="50" w:before="50"/>
      </w:pPr>
      <w:r>
        <w:rPr>
          <w:rFonts w:ascii="Arial" w:cs="Arial" w:eastAsia="Arial" w:hAnsi="Arial"/>
          <w:sz w:val="21"/>
          <w:szCs w:val="21"/>
        </w:rPr>
        <w:t xml:space="preserve">Individual Recovery Plan (IRP) tracker — goals by life domain, milestone celebration</w:t>
      </w:r>
    </w:p>
    <w:p>
      <w:pPr>
        <w:pStyle w:val="ListParagraph"/>
        <w:numPr>
          <w:ilvl w:val="0"/>
          <w:numId w:val="3"/>
        </w:numPr>
        <w:spacing w:after="50" w:before="50"/>
      </w:pPr>
      <w:r>
        <w:rPr>
          <w:rFonts w:ascii="Arial" w:cs="Arial" w:eastAsia="Arial" w:hAnsi="Arial"/>
          <w:sz w:val="21"/>
          <w:szCs w:val="21"/>
        </w:rPr>
        <w:t xml:space="preserve">Fee payment tracking and receipt history</w:t>
      </w:r>
    </w:p>
    <w:p>
      <w:pPr>
        <w:pStyle w:val="ListParagraph"/>
        <w:numPr>
          <w:ilvl w:val="0"/>
          <w:numId w:val="3"/>
        </w:numPr>
        <w:spacing w:after="50" w:before="50"/>
      </w:pPr>
      <w:r>
        <w:rPr>
          <w:rFonts w:ascii="Arial" w:cs="Arial" w:eastAsia="Arial" w:hAnsi="Arial"/>
          <w:sz w:val="21"/>
          <w:szCs w:val="21"/>
        </w:rPr>
        <w:t xml:space="preserve">Warmline access — in-app call/text to 515-310-DIAL</w:t>
      </w:r>
    </w:p>
    <w:p>
      <w:pPr>
        <w:pStyle w:val="ListParagraph"/>
        <w:numPr>
          <w:ilvl w:val="0"/>
          <w:numId w:val="3"/>
        </w:numPr>
        <w:spacing w:after="50" w:before="50"/>
      </w:pPr>
      <w:r>
        <w:rPr>
          <w:rFonts w:ascii="Arial" w:cs="Arial" w:eastAsia="Arial" w:hAnsi="Arial"/>
          <w:sz w:val="21"/>
          <w:szCs w:val="21"/>
        </w:rPr>
        <w:t xml:space="preserve">Resource library — local recovery meetings, employment, benefits, transportation</w:t>
      </w:r>
    </w:p>
    <w:p>
      <w:pPr>
        <w:pStyle w:val="ListParagraph"/>
        <w:numPr>
          <w:ilvl w:val="0"/>
          <w:numId w:val="3"/>
        </w:numPr>
        <w:spacing w:after="50" w:before="50"/>
      </w:pPr>
      <w:r>
        <w:rPr>
          <w:rFonts w:ascii="Arial" w:cs="Arial" w:eastAsia="Arial" w:hAnsi="Arial"/>
          <w:sz w:val="21"/>
          <w:szCs w:val="21"/>
        </w:rPr>
        <w:t xml:space="preserve">House community board — announcements, meeting notes, milestone celebrations</w:t>
      </w:r>
    </w:p>
    <w:p>
      <w:pPr>
        <w:pStyle w:val="ListParagraph"/>
        <w:numPr>
          <w:ilvl w:val="0"/>
          <w:numId w:val="3"/>
        </w:numPr>
        <w:spacing w:after="50" w:before="50"/>
      </w:pPr>
      <w:r>
        <w:rPr>
          <w:rFonts w:ascii="Arial" w:cs="Arial" w:eastAsia="Arial" w:hAnsi="Arial"/>
          <w:sz w:val="21"/>
          <w:szCs w:val="21"/>
        </w:rPr>
        <w:t xml:space="preserve">Phase progress visual — where am I, what comes next</w:t>
      </w:r>
    </w:p>
    <w:p>
      <w:pPr>
        <w:spacing w:after="0" w:before="80"/>
      </w:pPr>
      <w:r>
        <w:t xml:space="preserve"/>
      </w:r>
    </w:p>
    <w:p>
      <w:pPr>
        <w:spacing w:after="70" w:before="180"/>
      </w:pPr>
      <w:r>
        <w:rPr>
          <w:rFonts w:ascii="Arial" w:cs="Arial" w:eastAsia="Arial" w:hAnsi="Arial"/>
          <w:b/>
          <w:bCs/>
          <w:color w:val="B8860B"/>
          <w:sz w:val="22"/>
          <w:szCs w:val="22"/>
        </w:rPr>
        <w:t xml:space="preserve">3. Public Recovery Housing Directory (NEW)</w:t>
      </w:r>
    </w:p>
    <w:p>
      <w:pPr>
        <w:pStyle w:val="ListParagraph"/>
        <w:numPr>
          <w:ilvl w:val="0"/>
          <w:numId w:val="3"/>
        </w:numPr>
        <w:spacing w:after="50" w:before="50"/>
      </w:pPr>
      <w:r>
        <w:rPr>
          <w:rFonts w:ascii="Arial" w:cs="Arial" w:eastAsia="Arial" w:hAnsi="Arial"/>
          <w:sz w:val="21"/>
          <w:szCs w:val="21"/>
        </w:rPr>
        <w:t xml:space="preserve">Searchable map-based directory of GFA-affiliated recovery residences in Iowa</w:t>
      </w:r>
    </w:p>
    <w:p>
      <w:pPr>
        <w:pStyle w:val="ListParagraph"/>
        <w:numPr>
          <w:ilvl w:val="0"/>
          <w:numId w:val="3"/>
        </w:numPr>
        <w:spacing w:after="50" w:before="50"/>
      </w:pPr>
      <w:r>
        <w:rPr>
          <w:rFonts w:ascii="Arial" w:cs="Arial" w:eastAsia="Arial" w:hAnsi="Arial"/>
          <w:sz w:val="21"/>
          <w:szCs w:val="21"/>
        </w:rPr>
        <w:t xml:space="preserve">Each residence profile: program description, bed availability, fees, contact, population served</w:t>
      </w:r>
    </w:p>
    <w:p>
      <w:pPr>
        <w:pStyle w:val="ListParagraph"/>
        <w:numPr>
          <w:ilvl w:val="0"/>
          <w:numId w:val="3"/>
        </w:numPr>
        <w:spacing w:after="50" w:before="50"/>
      </w:pPr>
      <w:r>
        <w:rPr>
          <w:rFonts w:ascii="Arial" w:cs="Arial" w:eastAsia="Arial" w:hAnsi="Arial"/>
          <w:sz w:val="21"/>
          <w:szCs w:val="21"/>
        </w:rPr>
        <w:t xml:space="preserve">NARR certification badge display</w:t>
      </w:r>
    </w:p>
    <w:p>
      <w:pPr>
        <w:pStyle w:val="ListParagraph"/>
        <w:numPr>
          <w:ilvl w:val="0"/>
          <w:numId w:val="3"/>
        </w:numPr>
        <w:spacing w:after="50" w:before="50"/>
      </w:pPr>
      <w:r>
        <w:rPr>
          <w:rFonts w:ascii="Arial" w:cs="Arial" w:eastAsia="Arial" w:hAnsi="Arial"/>
          <w:sz w:val="21"/>
          <w:szCs w:val="21"/>
        </w:rPr>
        <w:t xml:space="preserve">MAT/MOUD policy indicator — clearly marked</w:t>
      </w:r>
    </w:p>
    <w:p>
      <w:pPr>
        <w:pStyle w:val="ListParagraph"/>
        <w:numPr>
          <w:ilvl w:val="0"/>
          <w:numId w:val="3"/>
        </w:numPr>
        <w:spacing w:after="50" w:before="50"/>
      </w:pPr>
      <w:r>
        <w:rPr>
          <w:rFonts w:ascii="Arial" w:cs="Arial" w:eastAsia="Arial" w:hAnsi="Arial"/>
          <w:sz w:val="21"/>
          <w:szCs w:val="21"/>
        </w:rPr>
        <w:t xml:space="preserve">Referral partner information and referral form submission</w:t>
      </w:r>
    </w:p>
    <w:p>
      <w:pPr>
        <w:spacing w:after="0" w:before="80"/>
      </w:pPr>
      <w:r>
        <w:t xml:space="preserve"/>
      </w:r>
    </w:p>
    <w:p>
      <w:pPr>
        <w:spacing w:after="70" w:before="180"/>
      </w:pPr>
      <w:r>
        <w:rPr>
          <w:rFonts w:ascii="Arial" w:cs="Arial" w:eastAsia="Arial" w:hAnsi="Arial"/>
          <w:b/>
          <w:bCs/>
          <w:color w:val="B8860B"/>
          <w:sz w:val="22"/>
          <w:szCs w:val="22"/>
        </w:rPr>
        <w:t xml:space="preserve">4. Operational Workflow Automation (NEW)</w:t>
      </w:r>
    </w:p>
    <w:p>
      <w:pPr>
        <w:pStyle w:val="ListParagraph"/>
        <w:numPr>
          <w:ilvl w:val="0"/>
          <w:numId w:val="3"/>
        </w:numPr>
        <w:spacing w:after="50" w:before="50"/>
      </w:pPr>
      <w:r>
        <w:rPr>
          <w:rFonts w:ascii="Arial" w:cs="Arial" w:eastAsia="Arial" w:hAnsi="Arial"/>
          <w:sz w:val="21"/>
          <w:szCs w:val="21"/>
        </w:rPr>
        <w:t xml:space="preserve">Intake checklist automation — every step tracked, staff initialed, timestamped</w:t>
      </w:r>
    </w:p>
    <w:p>
      <w:pPr>
        <w:pStyle w:val="ListParagraph"/>
        <w:numPr>
          <w:ilvl w:val="0"/>
          <w:numId w:val="3"/>
        </w:numPr>
        <w:spacing w:after="50" w:before="50"/>
      </w:pPr>
      <w:r>
        <w:rPr>
          <w:rFonts w:ascii="Arial" w:cs="Arial" w:eastAsia="Arial" w:hAnsi="Arial"/>
          <w:sz w:val="21"/>
          <w:szCs w:val="21"/>
        </w:rPr>
        <w:t xml:space="preserve">Alert system — missed check-ins, overdue drug screens, upcoming IRP reviews, curfew violations</w:t>
      </w:r>
    </w:p>
    <w:p>
      <w:pPr>
        <w:pStyle w:val="ListParagraph"/>
        <w:numPr>
          <w:ilvl w:val="0"/>
          <w:numId w:val="3"/>
        </w:numPr>
        <w:spacing w:after="50" w:before="50"/>
      </w:pPr>
      <w:r>
        <w:rPr>
          <w:rFonts w:ascii="Arial" w:cs="Arial" w:eastAsia="Arial" w:hAnsi="Arial"/>
          <w:sz w:val="21"/>
          <w:szCs w:val="21"/>
        </w:rPr>
        <w:t xml:space="preserve">NARR annual compliance calendar — auto-scheduled review tasks</w:t>
      </w:r>
    </w:p>
    <w:p>
      <w:pPr>
        <w:pStyle w:val="ListParagraph"/>
        <w:numPr>
          <w:ilvl w:val="0"/>
          <w:numId w:val="3"/>
        </w:numPr>
        <w:spacing w:after="50" w:before="50"/>
      </w:pPr>
      <w:r>
        <w:rPr>
          <w:rFonts w:ascii="Arial" w:cs="Arial" w:eastAsia="Arial" w:hAnsi="Arial"/>
          <w:sz w:val="21"/>
          <w:szCs w:val="21"/>
        </w:rPr>
        <w:t xml:space="preserve">Supervision compliance report auto-generation from participant data</w:t>
      </w:r>
    </w:p>
    <w:p>
      <w:pPr>
        <w:pStyle w:val="ListParagraph"/>
        <w:numPr>
          <w:ilvl w:val="0"/>
          <w:numId w:val="3"/>
        </w:numPr>
        <w:spacing w:after="50" w:before="50"/>
      </w:pPr>
      <w:r>
        <w:rPr>
          <w:rFonts w:ascii="Arial" w:cs="Arial" w:eastAsia="Arial" w:hAnsi="Arial"/>
          <w:sz w:val="21"/>
          <w:szCs w:val="21"/>
        </w:rPr>
        <w:t xml:space="preserve">Iowa HHS reporting data export</w:t>
      </w:r>
    </w:p>
    <w:p>
      <w:pPr>
        <w:spacing w:after="0" w:before="200"/>
      </w:pPr>
      <w:r>
        <w:t xml:space="preserve"/>
      </w:r>
    </w:p>
    <w:p>
      <w:r>
        <w:br w:type="page"/>
      </w:r>
    </w:p>
    <w:p>
      <w:pPr>
        <w:pBdr>
          <w:bottom w:val="single" w:color="1B2A4A" w:sz="8" w:space="4"/>
        </w:pBdr>
        <w:spacing w:after="140" w:before="340"/>
      </w:pPr>
      <w:r>
        <w:rPr>
          <w:rFonts w:ascii="Arial" w:cs="Arial" w:eastAsia="Arial" w:hAnsi="Arial"/>
          <w:b/>
          <w:bCs/>
          <w:color w:val="1B2A4A"/>
          <w:sz w:val="30"/>
          <w:szCs w:val="30"/>
        </w:rPr>
        <w:t xml:space="preserve">Section 2 — Hub Architecture: Four Rooms</w:t>
      </w:r>
    </w:p>
    <w:p>
      <w:pPr>
        <w:spacing w:after="60" w:before="60"/>
      </w:pPr>
      <w:r>
        <w:rPr>
          <w:rFonts w:ascii="Arial" w:cs="Arial" w:eastAsia="Arial" w:hAnsi="Arial"/>
          <w:sz w:val="21"/>
          <w:szCs w:val="21"/>
        </w:rPr>
        <w:t xml:space="preserve">The Provider Hub is organized into four rooms, each serving a distinct audience with role-based access. The architecture follows the CCAR 'Stay in Your Lane' principle — every room has a clear purpose, a defined audience, and boundaries that protect both residents and operators.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2000"/>
        <w:gridCol w:w="2800"/>
        <w:gridCol w:w="2600"/>
      </w:tblGrid>
      <w:tr>
        <w:trPr>
          <w:tblHeader/>
        </w:trPr>
        <w:tc>
          <w:tcPr>
            <w:tcW w:type="dxa" w:w="19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Room</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Who Accesses It</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Primary Functions</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NARR Standard</w:t>
            </w:r>
          </w:p>
        </w:tc>
      </w:tr>
      <w:tr>
        <w:tc>
          <w:tcPr>
            <w:tcW w:type="dxa" w:w="1960"/>
            <w:tcBorders>
              <w:top w:val="single" w:color="CCCCCC" w:sz="1"/>
              <w:left w:val="single" w:color="CCCCCC" w:sz="1"/>
              <w:bottom w:val="single" w:color="CCCCCC" w:sz="1"/>
              <w:right w:val="single" w:color="CCCCCC" w:sz="1"/>
            </w:tcBorders>
            <w:shd w:fill="EEF2F7" w:val="clear"/>
            <w:tcMar>
              <w:top w:type="dxa" w:w="90"/>
              <w:left w:type="dxa" w:w="120"/>
              <w:bottom w:type="dxa" w:w="90"/>
              <w:right w:type="dxa" w:w="120"/>
            </w:tcMar>
          </w:tcPr>
          <w:p>
            <w:r>
              <w:rPr>
                <w:rFonts w:ascii="Arial" w:cs="Arial" w:eastAsia="Arial" w:hAnsi="Arial"/>
                <w:b/>
                <w:bCs/>
                <w:color w:val="1B2A4A"/>
                <w:sz w:val="19"/>
                <w:szCs w:val="19"/>
              </w:rPr>
              <w:t xml:space="preserve">Room 1
Operator Dashboard</w:t>
            </w:r>
          </w:p>
        </w:tc>
        <w:tc>
          <w:tcPr>
            <w:tcW w:type="dxa" w:w="2000"/>
            <w:tcBorders>
              <w:top w:val="single" w:color="CCCCCC" w:sz="1"/>
              <w:left w:val="single" w:color="CCCCCC" w:sz="1"/>
              <w:bottom w:val="single" w:color="CCCCCC" w:sz="1"/>
              <w:right w:val="single" w:color="CCCCCC" w:sz="1"/>
            </w:tcBorders>
            <w:shd w:fill="EEF2F7" w:val="clear"/>
            <w:tcMar>
              <w:top w:type="dxa" w:w="90"/>
              <w:left w:type="dxa" w:w="120"/>
              <w:bottom w:type="dxa" w:w="90"/>
              <w:right w:type="dxa" w:w="120"/>
            </w:tcMar>
          </w:tcPr>
          <w:p>
            <w:r>
              <w:rPr>
                <w:rFonts w:ascii="Arial" w:cs="Arial" w:eastAsia="Arial" w:hAnsi="Arial"/>
                <w:sz w:val="18"/>
                <w:szCs w:val="18"/>
              </w:rPr>
              <w:t xml:space="preserve">Executive Director, House Manager</w:t>
            </w:r>
          </w:p>
        </w:tc>
        <w:tc>
          <w:tcPr>
            <w:tcW w:type="dxa" w:w="2800"/>
            <w:tcBorders>
              <w:top w:val="single" w:color="CCCCCC" w:sz="1"/>
              <w:left w:val="single" w:color="CCCCCC" w:sz="1"/>
              <w:bottom w:val="single" w:color="CCCCCC" w:sz="1"/>
              <w:right w:val="single" w:color="CCCCCC" w:sz="1"/>
            </w:tcBorders>
            <w:shd w:fill="EEF2F7" w:val="clear"/>
            <w:tcMar>
              <w:top w:type="dxa" w:w="90"/>
              <w:left w:type="dxa" w:w="120"/>
              <w:bottom w:type="dxa" w:w="90"/>
              <w:right w:type="dxa" w:w="120"/>
            </w:tcMar>
          </w:tcPr>
          <w:p>
            <w:r>
              <w:rPr>
                <w:rFonts w:ascii="Arial" w:cs="Arial" w:eastAsia="Arial" w:hAnsi="Arial"/>
                <w:sz w:val="18"/>
                <w:szCs w:val="18"/>
              </w:rPr>
              <w:t xml:space="preserve">Bed management, NARR compliance tracker, drug testing log, incident reports, staff scheduling, financial tracking, discharge documentation, waitlist</w:t>
            </w:r>
          </w:p>
        </w:tc>
        <w:tc>
          <w:tcPr>
            <w:tcW w:type="dxa" w:w="2600"/>
            <w:tcBorders>
              <w:top w:val="single" w:color="CCCCCC" w:sz="1"/>
              <w:left w:val="single" w:color="CCCCCC" w:sz="1"/>
              <w:bottom w:val="single" w:color="CCCCCC" w:sz="1"/>
              <w:right w:val="single" w:color="CCCCCC" w:sz="1"/>
            </w:tcBorders>
            <w:shd w:fill="EEF2F7" w:val="clear"/>
            <w:tcMar>
              <w:top w:type="dxa" w:w="90"/>
              <w:left w:type="dxa" w:w="120"/>
              <w:bottom w:type="dxa" w:w="90"/>
              <w:right w:type="dxa" w:w="120"/>
            </w:tcMar>
          </w:tcPr>
          <w:p>
            <w:r>
              <w:rPr>
                <w:rFonts w:ascii="Arial" w:cs="Arial" w:eastAsia="Arial" w:hAnsi="Arial"/>
                <w:color w:val="0D6B74"/>
                <w:sz w:val="18"/>
                <w:szCs w:val="18"/>
              </w:rPr>
              <w:t xml:space="preserve">Domain 1 (Admin) — Standards 1–13; Domain 4 (Good Neighbor)</w:t>
            </w:r>
          </w:p>
        </w:tc>
      </w:tr>
      <w:tr>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1B2A4A"/>
                <w:sz w:val="19"/>
                <w:szCs w:val="19"/>
              </w:rPr>
              <w:t xml:space="preserve">Room 2
Resident Portal</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18"/>
                <w:szCs w:val="18"/>
              </w:rPr>
              <w:t xml:space="preserve">Active residents (individual login)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18"/>
                <w:szCs w:val="18"/>
              </w:rPr>
              <w:t xml:space="preserve">Daily check-in, IRP tracker, fee payments, warmline, house board, resource library, phase progress, personal journal</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0D6B74"/>
                <w:sz w:val="18"/>
                <w:szCs w:val="18"/>
              </w:rPr>
              <w:t xml:space="preserve">Domain 3 (Recovery Support) — Standards 20–29</w:t>
            </w:r>
          </w:p>
        </w:tc>
      </w:tr>
      <w:tr>
        <w:tc>
          <w:tcPr>
            <w:tcW w:type="dxa" w:w="1960"/>
            <w:tcBorders>
              <w:top w:val="single" w:color="CCCCCC" w:sz="1"/>
              <w:left w:val="single" w:color="CCCCCC" w:sz="1"/>
              <w:bottom w:val="single" w:color="CCCCCC" w:sz="1"/>
              <w:right w:val="single" w:color="CCCCCC" w:sz="1"/>
            </w:tcBorders>
            <w:shd w:fill="EEF2F7" w:val="clear"/>
            <w:tcMar>
              <w:top w:type="dxa" w:w="90"/>
              <w:left w:type="dxa" w:w="120"/>
              <w:bottom w:type="dxa" w:w="90"/>
              <w:right w:type="dxa" w:w="120"/>
            </w:tcMar>
          </w:tcPr>
          <w:p>
            <w:r>
              <w:rPr>
                <w:rFonts w:ascii="Arial" w:cs="Arial" w:eastAsia="Arial" w:hAnsi="Arial"/>
                <w:b/>
                <w:bCs/>
                <w:color w:val="1B2A4A"/>
                <w:sz w:val="19"/>
                <w:szCs w:val="19"/>
              </w:rPr>
              <w:t xml:space="preserve">Room 3
Public Directory</w:t>
            </w:r>
          </w:p>
        </w:tc>
        <w:tc>
          <w:tcPr>
            <w:tcW w:type="dxa" w:w="2000"/>
            <w:tcBorders>
              <w:top w:val="single" w:color="CCCCCC" w:sz="1"/>
              <w:left w:val="single" w:color="CCCCCC" w:sz="1"/>
              <w:bottom w:val="single" w:color="CCCCCC" w:sz="1"/>
              <w:right w:val="single" w:color="CCCCCC" w:sz="1"/>
            </w:tcBorders>
            <w:shd w:fill="EEF2F7" w:val="clear"/>
            <w:tcMar>
              <w:top w:type="dxa" w:w="90"/>
              <w:left w:type="dxa" w:w="120"/>
              <w:bottom w:type="dxa" w:w="90"/>
              <w:right w:type="dxa" w:w="120"/>
            </w:tcMar>
          </w:tcPr>
          <w:p>
            <w:r>
              <w:rPr>
                <w:rFonts w:ascii="Arial" w:cs="Arial" w:eastAsia="Arial" w:hAnsi="Arial"/>
                <w:sz w:val="18"/>
                <w:szCs w:val="18"/>
              </w:rPr>
              <w:t xml:space="preserve">Anyone — no login required</w:t>
            </w:r>
          </w:p>
        </w:tc>
        <w:tc>
          <w:tcPr>
            <w:tcW w:type="dxa" w:w="2800"/>
            <w:tcBorders>
              <w:top w:val="single" w:color="CCCCCC" w:sz="1"/>
              <w:left w:val="single" w:color="CCCCCC" w:sz="1"/>
              <w:bottom w:val="single" w:color="CCCCCC" w:sz="1"/>
              <w:right w:val="single" w:color="CCCCCC" w:sz="1"/>
            </w:tcBorders>
            <w:shd w:fill="EEF2F7" w:val="clear"/>
            <w:tcMar>
              <w:top w:type="dxa" w:w="90"/>
              <w:left w:type="dxa" w:w="120"/>
              <w:bottom w:type="dxa" w:w="90"/>
              <w:right w:type="dxa" w:w="120"/>
            </w:tcMar>
          </w:tcPr>
          <w:p>
            <w:r>
              <w:rPr>
                <w:rFonts w:ascii="Arial" w:cs="Arial" w:eastAsia="Arial" w:hAnsi="Arial"/>
                <w:sz w:val="18"/>
                <w:szCs w:val="18"/>
              </w:rPr>
              <w:t xml:space="preserve">Searchable map of GFA residences, bed availability, program descriptions, referral form, contact info</w:t>
            </w:r>
          </w:p>
        </w:tc>
        <w:tc>
          <w:tcPr>
            <w:tcW w:type="dxa" w:w="2600"/>
            <w:tcBorders>
              <w:top w:val="single" w:color="CCCCCC" w:sz="1"/>
              <w:left w:val="single" w:color="CCCCCC" w:sz="1"/>
              <w:bottom w:val="single" w:color="CCCCCC" w:sz="1"/>
              <w:right w:val="single" w:color="CCCCCC" w:sz="1"/>
            </w:tcBorders>
            <w:shd w:fill="EEF2F7" w:val="clear"/>
            <w:tcMar>
              <w:top w:type="dxa" w:w="90"/>
              <w:left w:type="dxa" w:w="120"/>
              <w:bottom w:type="dxa" w:w="90"/>
              <w:right w:type="dxa" w:w="120"/>
            </w:tcMar>
          </w:tcPr>
          <w:p>
            <w:r>
              <w:rPr>
                <w:rFonts w:ascii="Arial" w:cs="Arial" w:eastAsia="Arial" w:hAnsi="Arial"/>
                <w:color w:val="0D6B74"/>
                <w:sz w:val="18"/>
                <w:szCs w:val="18"/>
              </w:rPr>
              <w:t xml:space="preserve">Domain 4 (Good Neighbor) — Standards 30–31; Iowa HHS checklist</w:t>
            </w:r>
          </w:p>
        </w:tc>
      </w:tr>
      <w:tr>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1B2A4A"/>
                <w:sz w:val="19"/>
                <w:szCs w:val="19"/>
              </w:rPr>
              <w:t xml:space="preserve">Room 4
Referral Partner Portal</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18"/>
                <w:szCs w:val="18"/>
              </w:rPr>
              <w:t xml:space="preserve">Probation, parole, IDOC, treatment providers (credentialed login)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18"/>
                <w:szCs w:val="18"/>
              </w:rPr>
              <w:t xml:space="preserve">Submit referrals, view participant participation status (w/ consent), receive compliance reports, track referral outcomes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0D6B74"/>
                <w:sz w:val="18"/>
                <w:szCs w:val="18"/>
              </w:rPr>
              <w:t xml:space="preserve">Domain 1, Standard 5 (rights/requirements); Iowa HHS protocol</w:t>
            </w:r>
          </w:p>
        </w:tc>
      </w:tr>
    </w:tbl>
    <w:p>
      <w:pPr>
        <w:spacing w:after="0" w:before="200"/>
      </w:pPr>
      <w:r>
        <w:t xml:space="preserve"/>
      </w:r>
    </w:p>
    <w:p>
      <w:pPr>
        <w:pBdr>
          <w:bottom w:val="single" w:color="1B2A4A" w:sz="8" w:space="4"/>
        </w:pBdr>
        <w:spacing w:after="140" w:before="340"/>
      </w:pPr>
      <w:r>
        <w:rPr>
          <w:rFonts w:ascii="Arial" w:cs="Arial" w:eastAsia="Arial" w:hAnsi="Arial"/>
          <w:b/>
          <w:bCs/>
          <w:color w:val="1B2A4A"/>
          <w:sz w:val="30"/>
          <w:szCs w:val="30"/>
        </w:rPr>
        <w:t xml:space="preserve">Section 3 — New Database Schema: RESIDENCE Module</w:t>
      </w:r>
    </w:p>
    <w:p>
      <w:pPr>
        <w:spacing w:after="60" w:before="60"/>
      </w:pPr>
      <w:r>
        <w:rPr>
          <w:rFonts w:ascii="Arial" w:cs="Arial" w:eastAsia="Arial" w:hAnsi="Arial"/>
          <w:sz w:val="21"/>
          <w:szCs w:val="21"/>
        </w:rPr>
        <w:t xml:space="preserve">The existing VRCC v6 schema (107 tables, 9 schemas) is GFA program-focused. The Provider Hub requires a new schema: gfa_residence. This schema links to existing tables via participant_id and adds residence-level tracking that does not currently exist.</w:t>
      </w:r>
    </w:p>
    <w:p>
      <w:pPr>
        <w:spacing w:after="0" w:before="120"/>
      </w:pPr>
      <w:r>
        <w:t xml:space="preserve"/>
      </w:r>
    </w:p>
    <w:p>
      <w:pPr>
        <w:spacing w:after="100" w:before="240"/>
      </w:pPr>
      <w:r>
        <w:rPr>
          <w:rFonts w:ascii="Arial" w:cs="Arial" w:eastAsia="Arial" w:hAnsi="Arial"/>
          <w:b/>
          <w:bCs/>
          <w:color w:val="2C3E50"/>
          <w:sz w:val="24"/>
          <w:szCs w:val="24"/>
        </w:rPr>
        <w:t xml:space="preserve">Schema: gfa_residence —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tcPr>
          <w:p>
            <w:r>
              <w:rPr>
                <w:rFonts w:ascii="Arial" w:cs="Arial" w:eastAsia="Arial" w:hAnsi="Arial"/>
                <w:b/>
                <w:bCs/>
                <w:color w:val="FFFFFF"/>
                <w:sz w:val="20"/>
                <w:szCs w:val="20"/>
              </w:rPr>
              <w:t xml:space="preserve">Table</w:t>
            </w:r>
          </w:p>
        </w:tc>
        <w:tc>
          <w:tcPr>
            <w:tcW w:type="dxa" w:w="36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tcPr>
          <w:p>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tcPr>
          <w:p>
            <w:pPr>
              <w:jc w:val="left"/>
            </w:pPr>
            <w:r>
              <w:rPr>
                <w:rFonts w:ascii="Arial" w:cs="Arial" w:eastAsia="Arial" w:hAnsi="Arial"/>
                <w:b/>
                <w:bCs/>
                <w:color w:val="FFFFFF"/>
                <w:sz w:val="20"/>
                <w:szCs w:val="20"/>
              </w:rPr>
              <w:t xml:space="preserve">Links To</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residences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Master record for each GFA-affiliated recovery residence</w:t>
            </w:r>
          </w:p>
        </w:tc>
        <w:tc>
          <w:tcPr>
            <w:tcW w:type="dxa" w:w="27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gfa_core.operators</w:t>
            </w:r>
          </w:p>
        </w:tc>
      </w:tr>
      <w:tr>
        <w:trPr>
          <w:tblHeader w:val="false"/>
        </w:trPr>
        <w:tc>
          <w:tcPr>
            <w:tcW w:type="dxa" w:w="30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beds</w:t>
            </w:r>
          </w:p>
        </w:tc>
        <w:tc>
          <w:tcPr>
            <w:tcW w:type="dxa" w:w="3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Individual bed records with status, room type, occupant</w:t>
            </w:r>
          </w:p>
        </w:tc>
        <w:tc>
          <w:tcPr>
            <w:tcW w:type="dxa" w:w="27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gfa_core.participants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waitlist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Applicant queue with priority, referral source, status</w:t>
            </w:r>
          </w:p>
        </w:tc>
        <w:tc>
          <w:tcPr>
            <w:tcW w:type="dxa" w:w="27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gfa_core.participants</w:t>
            </w:r>
          </w:p>
        </w:tc>
      </w:tr>
      <w:tr>
        <w:trPr>
          <w:tblHeader w:val="false"/>
        </w:trPr>
        <w:tc>
          <w:tcPr>
            <w:tcW w:type="dxa" w:w="30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narr_compliance</w:t>
            </w:r>
          </w:p>
        </w:tc>
        <w:tc>
          <w:tcPr>
            <w:tcW w:type="dxa" w:w="3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NARR Standard 3.0 checklist — all 31 standards tracked</w:t>
            </w:r>
          </w:p>
        </w:tc>
        <w:tc>
          <w:tcPr>
            <w:tcW w:type="dxa" w:w="27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gfa_residence.residences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iowa_hhs_checklist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Iowa HHS 7-item eligibility checklist</w:t>
            </w:r>
          </w:p>
        </w:tc>
        <w:tc>
          <w:tcPr>
            <w:tcW w:type="dxa" w:w="27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gfa_residence.residences</w:t>
            </w:r>
          </w:p>
        </w:tc>
      </w:tr>
      <w:tr>
        <w:trPr>
          <w:tblHeader w:val="false"/>
        </w:trPr>
        <w:tc>
          <w:tcPr>
            <w:tcW w:type="dxa" w:w="30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drug_tests</w:t>
            </w:r>
          </w:p>
        </w:tc>
        <w:tc>
          <w:tcPr>
            <w:tcW w:type="dxa" w:w="3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Drug screen log per resident per date</w:t>
            </w:r>
          </w:p>
        </w:tc>
        <w:tc>
          <w:tcPr>
            <w:tcW w:type="dxa" w:w="27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gfa_core.participants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house_meetings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Weekly meeting log with attendance</w:t>
            </w:r>
          </w:p>
        </w:tc>
        <w:tc>
          <w:tcPr>
            <w:tcW w:type="dxa" w:w="27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gfa_core.participants</w:t>
            </w:r>
          </w:p>
        </w:tc>
      </w:tr>
      <w:tr>
        <w:trPr>
          <w:tblHeader w:val="false"/>
        </w:trPr>
        <w:tc>
          <w:tcPr>
            <w:tcW w:type="dxa" w:w="30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chore_assignments</w:t>
            </w:r>
          </w:p>
        </w:tc>
        <w:tc>
          <w:tcPr>
            <w:tcW w:type="dxa" w:w="3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Weekly chore schedule and completion</w:t>
            </w:r>
          </w:p>
        </w:tc>
        <w:tc>
          <w:tcPr>
            <w:tcW w:type="dxa" w:w="27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gfa_core.participants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incidents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Incident reports — 4-level classification</w:t>
            </w:r>
          </w:p>
        </w:tc>
        <w:tc>
          <w:tcPr>
            <w:tcW w:type="dxa" w:w="27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gfa_core.participants</w:t>
            </w:r>
          </w:p>
        </w:tc>
      </w:tr>
      <w:tr>
        <w:trPr>
          <w:tblHeader w:val="false"/>
        </w:trPr>
        <w:tc>
          <w:tcPr>
            <w:tcW w:type="dxa" w:w="30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phase_history</w:t>
            </w:r>
          </w:p>
        </w:tc>
        <w:tc>
          <w:tcPr>
            <w:tcW w:type="dxa" w:w="3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Phase advancement records with milestone dates</w:t>
            </w:r>
          </w:p>
        </w:tc>
        <w:tc>
          <w:tcPr>
            <w:tcW w:type="dxa" w:w="27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gfa_core.participants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discharges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Discharge documentation, type, resources provided</w:t>
            </w:r>
          </w:p>
        </w:tc>
        <w:tc>
          <w:tcPr>
            <w:tcW w:type="dxa" w:w="27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gfa_core.participants</w:t>
            </w:r>
          </w:p>
        </w:tc>
      </w:tr>
      <w:tr>
        <w:trPr>
          <w:tblHeader w:val="false"/>
        </w:trPr>
        <w:tc>
          <w:tcPr>
            <w:tcW w:type="dxa" w:w="30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irp_goals</w:t>
            </w:r>
          </w:p>
        </w:tc>
        <w:tc>
          <w:tcPr>
            <w:tcW w:type="dxa" w:w="3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Individual Recovery Plan goal tracker by domain</w:t>
            </w:r>
          </w:p>
        </w:tc>
        <w:tc>
          <w:tcPr>
            <w:tcW w:type="dxa" w:w="27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gfa_core.participants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daily_checkins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Resident daily mood/craving/gratitude check-in</w:t>
            </w:r>
          </w:p>
        </w:tc>
        <w:tc>
          <w:tcPr>
            <w:tcW w:type="dxa" w:w="27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gfa_core.participants</w:t>
            </w:r>
          </w:p>
        </w:tc>
      </w:tr>
      <w:tr>
        <w:trPr>
          <w:tblHeader w:val="false"/>
        </w:trPr>
        <w:tc>
          <w:tcPr>
            <w:tcW w:type="dxa" w:w="30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fee_ledger</w:t>
            </w:r>
          </w:p>
        </w:tc>
        <w:tc>
          <w:tcPr>
            <w:tcW w:type="dxa" w:w="3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Program fee payment tracking and receipts</w:t>
            </w:r>
          </w:p>
        </w:tc>
        <w:tc>
          <w:tcPr>
            <w:tcW w:type="dxa" w:w="27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gfa_core.participants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supervision_reports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Auto-generated compliance reports for PO/parole</w:t>
            </w:r>
          </w:p>
        </w:tc>
        <w:tc>
          <w:tcPr>
            <w:tcW w:type="dxa" w:w="27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gfa_core.participants</w:t>
            </w:r>
          </w:p>
        </w:tc>
      </w:tr>
      <w:tr>
        <w:trPr>
          <w:tblHeader w:val="false"/>
        </w:trPr>
        <w:tc>
          <w:tcPr>
            <w:tcW w:type="dxa" w:w="30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public_profiles</w:t>
            </w:r>
          </w:p>
        </w:tc>
        <w:tc>
          <w:tcPr>
            <w:tcW w:type="dxa" w:w="3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Public-facing residence profile content</w:t>
            </w:r>
          </w:p>
        </w:tc>
        <w:tc>
          <w:tcPr>
            <w:tcW w:type="dxa" w:w="27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gfa_residence.residences</w:t>
            </w:r>
          </w:p>
        </w:tc>
      </w:tr>
    </w:tbl>
    <w:p>
      <w:pPr>
        <w:spacing w:after="0" w:before="120"/>
      </w:pPr>
      <w:r>
        <w:t xml:space="preserve"/>
      </w:r>
    </w:p>
    <w:p>
      <w:pPr>
        <w:spacing w:after="100" w:before="240"/>
      </w:pPr>
      <w:r>
        <w:rPr>
          <w:rFonts w:ascii="Arial" w:cs="Arial" w:eastAsia="Arial" w:hAnsi="Arial"/>
          <w:b/>
          <w:bCs/>
          <w:color w:val="2C3E50"/>
          <w:sz w:val="24"/>
          <w:szCs w:val="24"/>
        </w:rPr>
        <w:t xml:space="preserve">Key Fields: residences (Master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90"/>
              <w:left w:type="dxa" w:w="160"/>
              <w:bottom w:type="dxa" w:w="90"/>
              <w:right w:type="dxa" w:w="16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90"/>
              <w:left w:type="dxa" w:w="160"/>
              <w:bottom w:type="dxa" w:w="90"/>
              <w:right w:type="dxa" w:w="160"/>
            </w:tcMar>
          </w:tcPr>
          <w:p>
            <w:r>
              <w:rPr>
                <w:rFonts w:ascii="Arial" w:cs="Arial" w:eastAsia="Arial" w:hAnsi="Arial"/>
                <w:b/>
                <w:bCs/>
                <w:color w:val="FFFFFF"/>
                <w:sz w:val="20"/>
                <w:szCs w:val="20"/>
              </w:rPr>
              <w:t xml:space="preserve">Purpose / Notes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id</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Primary key</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name</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Residence display name (e.g. 'Ernest &amp; Johnnie White Recovery House')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address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Full street address</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operator_entity</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LLC or operating entity name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program_operator</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Grace For Addictions (contracted)</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population_served</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Men / Women / Co-ed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narr_level</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Level I / II / III / IV</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narr_cert_date</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Date of current NARR certification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narr_cert_expiry</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Certification expiration/renewal date</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narr_affiliate</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Certifying affiliate (e.g. MCRSP)</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iowa_hhs_eligible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Boolean — passes all 7 HHS checklist items</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total_beds</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Total bed capacity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available_beds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Real-time count (computed from beds table)</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shared_room_fee</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Weekly fee — shared room</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private_room_fee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Weekly fee — private room</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accepts_mat</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Boolean — MOUD/MAT-affirming (always TRUE for GFA)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accepts_supervision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Boolean — works with probation/parole</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active</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Boolean — whether residence is currently operating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public_profile_id</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FK to public_profiles table</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notes</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Internal notes (not public-facing)</w:t>
            </w:r>
          </w:p>
        </w:tc>
      </w:tr>
    </w:tbl>
    <w:p>
      <w:pPr>
        <w:spacing w:after="0" w:before="200"/>
      </w:pPr>
      <w:r>
        <w:t xml:space="preserve"/>
      </w:r>
    </w:p>
    <w:p>
      <w:r>
        <w:br w:type="page"/>
      </w:r>
    </w:p>
    <w:p>
      <w:pPr>
        <w:pBdr>
          <w:bottom w:val="single" w:color="1B2A4A" w:sz="8" w:space="4"/>
        </w:pBdr>
        <w:spacing w:after="140" w:before="340"/>
      </w:pPr>
      <w:r>
        <w:rPr>
          <w:rFonts w:ascii="Arial" w:cs="Arial" w:eastAsia="Arial" w:hAnsi="Arial"/>
          <w:b/>
          <w:bCs/>
          <w:color w:val="1B2A4A"/>
          <w:sz w:val="30"/>
          <w:szCs w:val="30"/>
        </w:rPr>
        <w:t xml:space="preserve">Section 4 — NARR Compliance Tracker: All 31 Standards</w:t>
      </w:r>
    </w:p>
    <w:p>
      <w:pPr>
        <w:spacing w:after="60" w:before="60"/>
      </w:pPr>
      <w:r>
        <w:rPr>
          <w:rFonts w:ascii="Arial" w:cs="Arial" w:eastAsia="Arial" w:hAnsi="Arial"/>
          <w:sz w:val="21"/>
          <w:szCs w:val="21"/>
        </w:rPr>
        <w:t xml:space="preserve">The NARR compliance tracker is the operational heart of Room 1. Each of the 31 NARR Standard 3.0 standards is tracked individually with: current status (Met / In Progress / Not Met / N/A), evidence document link, date last verified, staff who verified, and next review date. The system auto-schedules annual reviews and flags items approaching expiration.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6B74" w:sz="18"/>
              <w:bottom w:val="none" w:color="FFFFFF" w:sz="0"/>
              <w:right w:val="none" w:color="FFFFFF" w:sz="0"/>
            </w:tcBorders>
            <w:shd w:fill="EEF2F7" w:val="clear"/>
            <w:tcMar>
              <w:top w:type="dxa" w:w="110"/>
              <w:left w:type="dxa" w:w="280"/>
              <w:bottom w:type="dxa" w:w="110"/>
              <w:right w:type="dxa" w:w="160"/>
            </w:tcMar>
          </w:tcPr>
          <w:p>
            <w:pPr>
              <w:spacing w:after="40" w:before="0"/>
            </w:pPr>
            <w:r>
              <w:rPr>
                <w:rFonts w:ascii="Arial" w:cs="Arial" w:eastAsia="Arial" w:hAnsi="Arial"/>
                <w:b/>
                <w:bCs/>
                <w:color w:val="0D6B74"/>
                <w:sz w:val="21"/>
                <w:szCs w:val="21"/>
              </w:rPr>
              <w:t xml:space="preserve">How NARR Compliance Becomes Automatic</w:t>
            </w:r>
          </w:p>
          <w:p>
            <w:pPr>
              <w:spacing w:after="0" w:before="0"/>
            </w:pPr>
            <w:r>
              <w:rPr>
                <w:rFonts w:ascii="Arial" w:cs="Arial" w:eastAsia="Arial" w:hAnsi="Arial"/>
                <w:sz w:val="20"/>
                <w:szCs w:val="20"/>
              </w:rPr>
              <w:t xml:space="preserve">Rather than performing an annual review scramble, every daily workflow action generates compliance evidence automatically. A drug test logged = Standard 2,F,16.c. met. A house meeting documented = Standard 3,I,27.e. met. An IRP created = Standard 3,G,21.a. met. Staff never think about NARR — they just do their job, and compliance records itself.</w:t>
            </w:r>
          </w:p>
        </w:tc>
      </w:tr>
    </w:tbl>
    <w:p>
      <w:pPr>
        <w:spacing w:after="0" w:before="120"/>
      </w:pPr>
      <w:r>
        <w:t xml:space="preserve"/>
      </w:r>
    </w:p>
    <w:p>
      <w:pPr>
        <w:spacing w:after="100" w:before="240"/>
      </w:pPr>
      <w:r>
        <w:rPr>
          <w:rFonts w:ascii="Arial" w:cs="Arial" w:eastAsia="Arial" w:hAnsi="Arial"/>
          <w:b/>
          <w:bCs/>
          <w:color w:val="2C3E50"/>
          <w:sz w:val="24"/>
          <w:szCs w:val="24"/>
        </w:rPr>
        <w:t xml:space="preserve">Domain 1 — Administrative Operations (Standards 1–13)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tcPr>
          <w:p>
            <w:r>
              <w:rPr>
                <w:rFonts w:ascii="Arial" w:cs="Arial" w:eastAsia="Arial" w:hAnsi="Arial"/>
                <w:b/>
                <w:bCs/>
                <w:color w:val="FFFFFF"/>
                <w:sz w:val="20"/>
                <w:szCs w:val="20"/>
              </w:rPr>
              <w:t xml:space="preserve">Standard</w:t>
            </w:r>
          </w:p>
        </w:tc>
        <w:tc>
          <w:tcPr>
            <w:tcW w:type="dxa" w:w="38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tcPr>
          <w:p>
            <w:r>
              <w:rPr>
                <w:rFonts w:ascii="Arial" w:cs="Arial" w:eastAsia="Arial" w:hAnsi="Arial"/>
                <w:b/>
                <w:bCs/>
                <w:color w:val="FFFFFF"/>
                <w:sz w:val="20"/>
                <w:szCs w:val="20"/>
              </w:rPr>
              <w:t xml:space="preserve">Requirement (Level II)</w:t>
            </w:r>
          </w:p>
        </w:tc>
        <w:tc>
          <w:tcPr>
            <w:tcW w:type="dxa" w:w="296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tcPr>
          <w:p>
            <w:pPr>
              <w:jc w:val="left"/>
            </w:pPr>
            <w:r>
              <w:rPr>
                <w:rFonts w:ascii="Arial" w:cs="Arial" w:eastAsia="Arial" w:hAnsi="Arial"/>
                <w:b/>
                <w:bCs/>
                <w:color w:val="FFFFFF"/>
                <w:sz w:val="20"/>
                <w:szCs w:val="20"/>
              </w:rPr>
              <w:t xml:space="preserve">Auto-Tracked By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1.A.1</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Written mission and vision — NARR-consistent</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Residence profile setup</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1.A.2.a</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Legal business entity documentation</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Document vault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1.A.2.b</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Current liability insurance documentation</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Document vault / expiry alert</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1.A.2.c</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Written permission from property owner</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W&amp;W Properties Lease on file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1.A.2.d</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Non-discrimination statement</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Participant Agreement</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1.A.2.e</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Honest marketing attestation</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Public profile review</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1.A.2.g</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Paid work policy (if applicable)</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Staff policy document</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1.A.2.h</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No staff involvement in resident finances</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Training log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1.A.2.i</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Code of ethics — signed by all staff/volunteers</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Staff onboarding checklist</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1.A.3.a</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Fees disclosed in writing before any funds accepted</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Participant Agreement signed at intake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1.A.3.b</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Accounting system for resident financial transactions</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Fee ledger table</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1.A.3.c</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Refund policy disclosed before binding agreement</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Participant Agreement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1.A.4.a</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Data collection policies — privacy protected</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VRCC privacy policy / data schema</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1.B.5.a</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Written agreement before committing to terms</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Participant Agreement — intake date logged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1.B.6.a</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Resident records secure — authorized access only</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VRCC role-based access control</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1.B.6.b</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Confidentiality law compliance (42 CFR Part 2)</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Confidentiality policy document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1.B.6.c</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Social media privacy policy</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House rules — posted</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1.C.7.a</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Some rules made by residents</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House meeting log — resident governance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1.C.7.b</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Grievance policy — right to escalate</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Grievance form available</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1.C.7.c</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Resident rights posted in common areas</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Rights card — posting verification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1.C.7.d</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Resident-driven length of stay policy</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Phase advancement policy</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1.C.7.e</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Residents heard in governance</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House meeting log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1.C.8.a</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Peer support interactions facilitated</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Session log — peer support type</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1.C.8.c</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Recovery progress recognized and strengths celebrated</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Phase advancement + milestone log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1.D.9</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Staff self-care, boundaries, empathy modeled</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Staff supervision log</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1.D.10</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Staff trained in Social Model</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Training log — certification records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1.D.11</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Cultural responsiveness training</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Training log</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1.D.12</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Written job descriptions for all staff roles</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HR document vault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1.D.13</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Ongoing performance development</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Supervision log</w:t>
            </w:r>
          </w:p>
        </w:tc>
      </w:tr>
    </w:tbl>
    <w:p>
      <w:pPr>
        <w:spacing w:after="0" w:before="120"/>
      </w:pPr>
      <w:r>
        <w:t xml:space="preserve"/>
      </w:r>
    </w:p>
    <w:p>
      <w:pPr>
        <w:spacing w:after="100" w:before="240"/>
      </w:pPr>
      <w:r>
        <w:rPr>
          <w:rFonts w:ascii="Arial" w:cs="Arial" w:eastAsia="Arial" w:hAnsi="Arial"/>
          <w:b/>
          <w:bCs/>
          <w:color w:val="2C3E50"/>
          <w:sz w:val="24"/>
          <w:szCs w:val="24"/>
        </w:rPr>
        <w:t xml:space="preserve">Domain 2 — Physical Environment (Standards 14–19)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tcPr>
          <w:p>
            <w:r>
              <w:rPr>
                <w:rFonts w:ascii="Arial" w:cs="Arial" w:eastAsia="Arial" w:hAnsi="Arial"/>
                <w:b/>
                <w:bCs/>
                <w:color w:val="FFFFFF"/>
                <w:sz w:val="20"/>
                <w:szCs w:val="20"/>
              </w:rPr>
              <w:t xml:space="preserve">Standard</w:t>
            </w:r>
          </w:p>
        </w:tc>
        <w:tc>
          <w:tcPr>
            <w:tcW w:type="dxa" w:w="38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tcPr>
          <w:p>
            <w:r>
              <w:rPr>
                <w:rFonts w:ascii="Arial" w:cs="Arial" w:eastAsia="Arial" w:hAnsi="Arial"/>
                <w:b/>
                <w:bCs/>
                <w:color w:val="FFFFFF"/>
                <w:sz w:val="20"/>
                <w:szCs w:val="20"/>
              </w:rPr>
              <w:t xml:space="preserve">Requirement (Level II)</w:t>
            </w:r>
          </w:p>
        </w:tc>
        <w:tc>
          <w:tcPr>
            <w:tcW w:type="dxa" w:w="296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tcPr>
          <w:p>
            <w:pPr>
              <w:jc w:val="left"/>
            </w:pPr>
            <w:r>
              <w:rPr>
                <w:rFonts w:ascii="Arial" w:cs="Arial" w:eastAsia="Arial" w:hAnsi="Arial"/>
                <w:b/>
                <w:bCs/>
                <w:color w:val="FFFFFF"/>
                <w:sz w:val="20"/>
                <w:szCs w:val="20"/>
              </w:rPr>
              <w:t xml:space="preserve">Auto-Tracked / Verified By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2.E.14.a</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Residence in good repair, clean, well maintained</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Annual property inspection — document vault</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2.E.14.b</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Home-like furnishings (not institutional)</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Site verification — photo log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2.E.14.c</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Home-like entrances and exits</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Site verification</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2.E.14.d</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50+ sq ft per bed per sleeping room</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Property specification on file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2.E.14.e</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Min 1 sink/toilet/shower per 6 residents</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Property specification on file</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2.E.14.f</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Personal item storage for each resident</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Bed assignment record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2.E.14.g</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Food storage space for each resident</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Site verification</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2.E.14.h</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Laundry accessible to all residents</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Site verification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2.E.14.i</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All appliances in safe, working condition</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Maintenance log</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2.E.15.a</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Meeting space large enough for all residents</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Site verification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2.E.15.b</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Comfortable group area for small groups</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Site verification</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2.E.15.c</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Kitchen/dining area for all residents</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Site verification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2.E.15.d</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Entertainment/recreation areas provided</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Site verification</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2.F.16.a</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Policy prohibiting alcohol and illicit drug use</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House Rules — posted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2.F.16.b</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Prohibited items list and search procedures</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Operational system</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2.F.16.c</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Drug screening and toxicology protocols</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Drug test log — auto-tracked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2.F.16.d</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Medication usage and storage policy</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Medication policy + disclosure form</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2.F.16.e</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Residents encouraged to take responsibility for safety</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House rules + IRP</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2.F.17.a</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Electrical/mechanical/structural attestation</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Annual landlord attestation</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2.F.17.b</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Local health and safety code compliance</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Inspection documentation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2.F.17.c</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Smoke detectors, CO detectors, fire extinguishers — inspected</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Safety inspection log</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2.F.18.a</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Smoke-free interior / designated smoking area</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House rules — posted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2.F.18.b</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Bodily fluid and contagious disease policy</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Health policy document</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2.F.19.a</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Emergency numbers and evacuation maps posted</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Site verification — photo log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2.F.19.b</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Emergency contact information collected</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Emergency contact form — intake</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2.F.19.c</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Residents oriented to emergency procedures</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Intake checklist — Narcan training logged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2.F.19.d</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Naloxone accessible — individuals trained</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Narcan training log — auto-tracked</w:t>
            </w:r>
          </w:p>
        </w:tc>
      </w:tr>
    </w:tbl>
    <w:p>
      <w:pPr>
        <w:spacing w:after="0" w:before="120"/>
      </w:pPr>
      <w:r>
        <w:t xml:space="preserve"/>
      </w:r>
    </w:p>
    <w:p>
      <w:pPr>
        <w:spacing w:after="100" w:before="240"/>
      </w:pPr>
      <w:r>
        <w:rPr>
          <w:rFonts w:ascii="Arial" w:cs="Arial" w:eastAsia="Arial" w:hAnsi="Arial"/>
          <w:b/>
          <w:bCs/>
          <w:color w:val="2C3E50"/>
          <w:sz w:val="24"/>
          <w:szCs w:val="24"/>
        </w:rPr>
        <w:t xml:space="preserve">Domain 3 — Recovery Support (Standards 20–29)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tcPr>
          <w:p>
            <w:r>
              <w:rPr>
                <w:rFonts w:ascii="Arial" w:cs="Arial" w:eastAsia="Arial" w:hAnsi="Arial"/>
                <w:b/>
                <w:bCs/>
                <w:color w:val="FFFFFF"/>
                <w:sz w:val="20"/>
                <w:szCs w:val="20"/>
              </w:rPr>
              <w:t xml:space="preserve">Standard</w:t>
            </w:r>
          </w:p>
        </w:tc>
        <w:tc>
          <w:tcPr>
            <w:tcW w:type="dxa" w:w="38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tcPr>
          <w:p>
            <w:r>
              <w:rPr>
                <w:rFonts w:ascii="Arial" w:cs="Arial" w:eastAsia="Arial" w:hAnsi="Arial"/>
                <w:b/>
                <w:bCs/>
                <w:color w:val="FFFFFF"/>
                <w:sz w:val="20"/>
                <w:szCs w:val="20"/>
              </w:rPr>
              <w:t xml:space="preserve">Requirement (Level II)</w:t>
            </w:r>
          </w:p>
        </w:tc>
        <w:tc>
          <w:tcPr>
            <w:tcW w:type="dxa" w:w="296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tcPr>
          <w:p>
            <w:pPr>
              <w:jc w:val="left"/>
            </w:pPr>
            <w:r>
              <w:rPr>
                <w:rFonts w:ascii="Arial" w:cs="Arial" w:eastAsia="Arial" w:hAnsi="Arial"/>
                <w:b/>
                <w:bCs/>
                <w:color w:val="FFFFFF"/>
                <w:sz w:val="20"/>
                <w:szCs w:val="20"/>
              </w:rPr>
              <w:t xml:space="preserve">Auto-Tracked By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3.G.20.a</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Residents encouraged in meaningful activities</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IRP — employment/education field</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3.G.21.a</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Individualized recovery planning with exit plan</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IRP created at intake — auto-logged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3.G.21.b</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Recovery capital built — employment, community service</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IRP progress tracker</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3.G.21.c</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Peer leadership and mentoring criteria written</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Phase advancement agreement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3.G.22.a</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Resource directories available</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VRCC resource library</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3.G.22.b</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Staff/leaders educate about community resources</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Session notes — resource type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3.G.23.a</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Weekly schedule of recovery support services</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House meeting schedule</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3.G.23.b</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Resident-to-resident peer support facilitated</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House meeting log — peer support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3.H.26.a</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Staff and residents model empathy and positive regard</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Staff supervision log</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3.H.26.b</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Trauma-informed practices are priority</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Training log + IRP trauma section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3.H.26.c</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Mechanisms for residents to inform operations</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House meeting log — governance</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3.I.27</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Functionally equivalent family — 50% of indicators</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House meeting, chores, food prep, expenses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3.I.28.a</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Informal activities encouraged</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Event/activity log</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3.I.28.c</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Community gatherings occur periodically</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Event log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3.I.28.d</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Transition rituals for entry, phase movement, exit</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Phase advancement record</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3.I.29.a</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Residents linked to mutual aid and recovery advocacy</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External meetings log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3.I.29.b</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Residents find recovery mentors or sponsors</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IRP — sponsor/mentor field</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3.I.29.c</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Residents attend mutual aid meetings</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External meetings log — auto-tracked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3.I.29.d</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Residents formally linked to community resources</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Referral log</w:t>
            </w:r>
          </w:p>
        </w:tc>
      </w:tr>
      <w:tr>
        <w:trPr>
          <w:tblHeader w:val="false"/>
        </w:trPr>
        <w:tc>
          <w:tcPr>
            <w:tcW w:type="dxa" w:w="26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1B2A4A"/>
                <w:sz w:val="19"/>
                <w:szCs w:val="19"/>
              </w:rPr>
              <w:t xml:space="preserve">3.I.29.e</w:t>
            </w:r>
          </w:p>
        </w:tc>
        <w:tc>
          <w:tcPr>
            <w:tcW w:type="dxa" w:w="3800"/>
            <w:tcBorders>
              <w:top w:val="single" w:color="CCCCCC" w:sz="1"/>
              <w:left w:val="single" w:color="CCCCCC" w:sz="1"/>
              <w:bottom w:val="single" w:color="CCCCCC" w:sz="1"/>
              <w:right w:val="single" w:color="CCCCCC" w:sz="1"/>
            </w:tcBorders>
            <w:shd w:fill="EEF2F7" w:val="clear"/>
            <w:tcMar>
              <w:top w:type="dxa" w:w="90"/>
              <w:left w:type="dxa" w:w="140"/>
              <w:bottom w:type="dxa" w:w="90"/>
              <w:right w:type="dxa" w:w="140"/>
            </w:tcMar>
          </w:tcPr>
          <w:p>
            <w:r>
              <w:rPr>
                <w:rFonts w:ascii="Arial" w:cs="Arial" w:eastAsia="Arial" w:hAnsi="Arial"/>
                <w:b w:val="false"/>
                <w:bCs w:val="false"/>
                <w:color w:val="000000"/>
                <w:sz w:val="19"/>
                <w:szCs w:val="19"/>
              </w:rPr>
              <w:t xml:space="preserve">Resident/staff community relations documented</w:t>
            </w:r>
          </w:p>
        </w:tc>
        <w:tc>
          <w:tcPr>
            <w:tcW w:type="dxa" w:w="2960"/>
            <w:tcBorders>
              <w:top w:val="single" w:color="CCCCCC" w:sz="1"/>
              <w:left w:val="single" w:color="CCCCCC" w:sz="1"/>
              <w:bottom w:val="single" w:color="CCCCCC" w:sz="1"/>
              <w:right w:val="single" w:color="CCCCCC" w:sz="1"/>
            </w:tcBorders>
            <w:shd w:fill="E8F4E8"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Community engagement log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B2A4A"/>
                <w:sz w:val="19"/>
                <w:szCs w:val="19"/>
              </w:rPr>
              <w:t xml:space="preserve">3.I.29.f</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Relationships inside and outside encouraged</w:t>
            </w:r>
          </w:p>
        </w:tc>
        <w:tc>
          <w:tcPr>
            <w:tcW w:type="dxa" w:w="2960"/>
            <w:tcBorders>
              <w:top w:val="single" w:color="CCCCCC" w:sz="1"/>
              <w:left w:val="single" w:color="CCCCCC" w:sz="1"/>
              <w:bottom w:val="single" w:color="CCCCCC" w:sz="1"/>
              <w:right w:val="single" w:color="CCCCCC" w:sz="1"/>
            </w:tcBorders>
            <w:shd w:fill="F0FFF0" w:val="clear"/>
            <w:tcMar>
              <w:top w:type="dxa" w:w="90"/>
              <w:left w:type="dxa" w:w="140"/>
              <w:bottom w:type="dxa" w:w="90"/>
              <w:right w:type="dxa" w:w="140"/>
            </w:tcMar>
          </w:tcPr>
          <w:p>
            <w:pPr>
              <w:jc w:val="center"/>
            </w:pPr>
            <w:r>
              <w:rPr>
                <w:rFonts w:ascii="Arial" w:cs="Arial" w:eastAsia="Arial" w:hAnsi="Arial"/>
                <w:b w:val="false"/>
                <w:bCs w:val="false"/>
                <w:color w:val="1A5C2A"/>
                <w:sz w:val="19"/>
                <w:szCs w:val="19"/>
              </w:rPr>
              <w:t xml:space="preserve">IRP — support network section</w:t>
            </w:r>
          </w:p>
        </w:tc>
      </w:tr>
    </w:tbl>
    <w:p>
      <w:pPr>
        <w:spacing w:after="0" w:before="80"/>
      </w:pPr>
      <w:r>
        <w:t xml:space="preserve"/>
      </w:r>
    </w:p>
    <w:p>
      <w:pPr>
        <w:spacing w:after="100" w:before="240"/>
      </w:pPr>
      <w:r>
        <w:rPr>
          <w:rFonts w:ascii="Arial" w:cs="Arial" w:eastAsia="Arial" w:hAnsi="Arial"/>
          <w:b/>
          <w:bCs/>
          <w:color w:val="2C3E50"/>
          <w:sz w:val="24"/>
          <w:szCs w:val="24"/>
        </w:rPr>
        <w:t xml:space="preserve">Domain 4 — Good Neighbor (Standards 30–31)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90"/>
              <w:left w:type="dxa" w:w="160"/>
              <w:bottom w:type="dxa" w:w="90"/>
              <w:right w:type="dxa" w:w="160"/>
            </w:tcMar>
          </w:tcPr>
          <w:p>
            <w:r>
              <w:rPr>
                <w:rFonts w:ascii="Arial" w:cs="Arial" w:eastAsia="Arial" w:hAnsi="Arial"/>
                <w:b/>
                <w:bCs/>
                <w:color w:val="FFFFFF"/>
                <w:sz w:val="20"/>
                <w:szCs w:val="20"/>
              </w:rPr>
              <w:t xml:space="preserve">Standard</w:t>
            </w:r>
          </w:p>
        </w:tc>
        <w:tc>
          <w:tcPr>
            <w:tcW w:type="dxa" w:w="6960"/>
            <w:tcBorders>
              <w:top w:val="single" w:color="CCCCCC" w:sz="1"/>
              <w:left w:val="single" w:color="CCCCCC" w:sz="1"/>
              <w:bottom w:val="single" w:color="CCCCCC" w:sz="1"/>
              <w:right w:val="single" w:color="CCCCCC" w:sz="1"/>
            </w:tcBorders>
            <w:shd w:fill="1B2A4A" w:val="clear"/>
            <w:tcMar>
              <w:top w:type="dxa" w:w="90"/>
              <w:left w:type="dxa" w:w="160"/>
              <w:bottom w:type="dxa" w:w="90"/>
              <w:right w:type="dxa" w:w="160"/>
            </w:tcMar>
          </w:tcPr>
          <w:p>
            <w:r>
              <w:rPr>
                <w:rFonts w:ascii="Arial" w:cs="Arial" w:eastAsia="Arial" w:hAnsi="Arial"/>
                <w:b/>
                <w:bCs/>
                <w:color w:val="FFFFFF"/>
                <w:sz w:val="20"/>
                <w:szCs w:val="20"/>
              </w:rPr>
              <w:t xml:space="preserve">Requirement &amp; How Met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4.J.30.a</w:t>
            </w:r>
          </w:p>
        </w:tc>
        <w:tc>
          <w:tcPr>
            <w:tcW w:type="dxa" w:w="69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Neighbors can request responsible person contact info — GFA Office: 515-220-8771 on file for all neighbors upon request</w:t>
            </w:r>
          </w:p>
        </w:tc>
      </w:tr>
      <w:tr>
        <w:trPr>
          <w:tblHeader w:val="false"/>
        </w:trPr>
        <w:tc>
          <w:tcPr>
            <w:tcW w:type="dxa" w:w="24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4.J.30.b</w:t>
            </w:r>
          </w:p>
        </w:tc>
        <w:tc>
          <w:tcPr>
            <w:tcW w:type="dxa" w:w="69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Responsible person responds to neighbor concerns — House Manager response protocol documented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4.J.30.c</w:t>
            </w:r>
          </w:p>
        </w:tc>
        <w:tc>
          <w:tcPr>
            <w:tcW w:type="dxa" w:w="69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Resident and staff orientations include neighbor interaction — Welcome packet + orientation checklist</w:t>
            </w:r>
          </w:p>
        </w:tc>
      </w:tr>
      <w:tr>
        <w:trPr>
          <w:tblHeader w:val="false"/>
        </w:trPr>
        <w:tc>
          <w:tcPr>
            <w:tcW w:type="dxa" w:w="24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4.J.31.a</w:t>
            </w:r>
          </w:p>
        </w:tc>
        <w:tc>
          <w:tcPr>
            <w:tcW w:type="dxa" w:w="69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Preemptive policies: smoking, loitering, language, cleanliness — House Rules posted, parking noted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4.J.31.b</w:t>
            </w:r>
          </w:p>
        </w:tc>
        <w:tc>
          <w:tcPr>
            <w:tcW w:type="dxa" w:w="69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Parking courtesy rules documented — House Rules posted</w:t>
            </w:r>
          </w:p>
        </w:tc>
      </w:tr>
    </w:tbl>
    <w:p>
      <w:pPr>
        <w:spacing w:after="0" w:before="200"/>
      </w:pPr>
      <w:r>
        <w:t xml:space="preserve"/>
      </w:r>
    </w:p>
    <w:p>
      <w:r>
        <w:br w:type="page"/>
      </w:r>
    </w:p>
    <w:p>
      <w:pPr>
        <w:pBdr>
          <w:bottom w:val="single" w:color="1B2A4A" w:sz="8" w:space="4"/>
        </w:pBdr>
        <w:spacing w:after="140" w:before="340"/>
      </w:pPr>
      <w:r>
        <w:rPr>
          <w:rFonts w:ascii="Arial" w:cs="Arial" w:eastAsia="Arial" w:hAnsi="Arial"/>
          <w:b/>
          <w:bCs/>
          <w:color w:val="1B2A4A"/>
          <w:sz w:val="30"/>
          <w:szCs w:val="30"/>
        </w:rPr>
        <w:t xml:space="preserve">Section 5 — Public Recovery Housing Directory</w:t>
      </w:r>
    </w:p>
    <w:p>
      <w:pPr>
        <w:spacing w:after="60" w:before="60"/>
      </w:pPr>
      <w:r>
        <w:rPr>
          <w:rFonts w:ascii="Arial" w:cs="Arial" w:eastAsia="Arial" w:hAnsi="Arial"/>
          <w:sz w:val="21"/>
          <w:szCs w:val="21"/>
        </w:rPr>
        <w:t xml:space="preserve">The Public Directory is Room 3 of the Hub — no login required, mobile-first, searchable, and map-based. It is designed to make finding recovery housing as easy and stigma-free as possible for people in recovery, their families, referral partners, and the public.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8"/>
              <w:bottom w:val="none" w:color="FFFFFF" w:sz="0"/>
              <w:right w:val="none" w:color="FFFFFF" w:sz="0"/>
            </w:tcBorders>
            <w:shd w:fill="EEF2F7" w:val="clear"/>
            <w:tcMar>
              <w:top w:type="dxa" w:w="110"/>
              <w:left w:type="dxa" w:w="280"/>
              <w:bottom w:type="dxa" w:w="110"/>
              <w:right w:type="dxa" w:w="160"/>
            </w:tcMar>
          </w:tcPr>
          <w:p>
            <w:pPr>
              <w:spacing w:after="40" w:before="0"/>
            </w:pPr>
            <w:r>
              <w:rPr>
                <w:rFonts w:ascii="Arial" w:cs="Arial" w:eastAsia="Arial" w:hAnsi="Arial"/>
                <w:b/>
                <w:bCs/>
                <w:color w:val="B8860B"/>
                <w:sz w:val="21"/>
                <w:szCs w:val="21"/>
              </w:rPr>
              <w:t xml:space="preserve">What the Public Should Know About Each Residence</w:t>
            </w:r>
          </w:p>
          <w:p>
            <w:pPr>
              <w:spacing w:after="0" w:before="0"/>
            </w:pPr>
            <w:r>
              <w:rPr>
                <w:rFonts w:ascii="Arial" w:cs="Arial" w:eastAsia="Arial" w:hAnsi="Arial"/>
                <w:sz w:val="20"/>
                <w:szCs w:val="20"/>
              </w:rPr>
              <w:t xml:space="preserve">Iowa HHS and SAMHSA both identify housing transparency and choice as core recovery values. Every recovery residence on the directory displays: what population it serves, what support it provides, whether MAT is accepted (YES for all GFA residences), current availability, program fees, how to apply, and the NARR certification status. No jargon. No gatekeeping. Clear, honest, accessible information.</w:t>
            </w:r>
          </w:p>
        </w:tc>
      </w:tr>
    </w:tbl>
    <w:p>
      <w:pPr>
        <w:spacing w:after="0" w:before="120"/>
      </w:pPr>
      <w:r>
        <w:t xml:space="preserve"/>
      </w:r>
    </w:p>
    <w:p>
      <w:pPr>
        <w:spacing w:after="100" w:before="240"/>
      </w:pPr>
      <w:r>
        <w:rPr>
          <w:rFonts w:ascii="Arial" w:cs="Arial" w:eastAsia="Arial" w:hAnsi="Arial"/>
          <w:b/>
          <w:bCs/>
          <w:color w:val="2C3E50"/>
          <w:sz w:val="24"/>
          <w:szCs w:val="24"/>
        </w:rPr>
        <w:t xml:space="preserve">Public Profile Fields — Each Recovery Residence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90"/>
              <w:left w:type="dxa" w:w="160"/>
              <w:bottom w:type="dxa" w:w="90"/>
              <w:right w:type="dxa" w:w="160"/>
            </w:tcMar>
          </w:tcPr>
          <w:p>
            <w:r>
              <w:rPr>
                <w:rFonts w:ascii="Arial" w:cs="Arial" w:eastAsia="Arial" w:hAnsi="Arial"/>
                <w:b/>
                <w:bCs/>
                <w:color w:val="FFFFFF"/>
                <w:sz w:val="20"/>
                <w:szCs w:val="20"/>
              </w:rPr>
              <w:t xml:space="preserve">Data Field</w:t>
            </w:r>
          </w:p>
        </w:tc>
        <w:tc>
          <w:tcPr>
            <w:tcW w:type="dxa" w:w="6160"/>
            <w:tcBorders>
              <w:top w:val="single" w:color="CCCCCC" w:sz="1"/>
              <w:left w:val="single" w:color="CCCCCC" w:sz="1"/>
              <w:bottom w:val="single" w:color="CCCCCC" w:sz="1"/>
              <w:right w:val="single" w:color="CCCCCC" w:sz="1"/>
            </w:tcBorders>
            <w:shd w:fill="1B2A4A" w:val="clear"/>
            <w:tcMar>
              <w:top w:type="dxa" w:w="90"/>
              <w:left w:type="dxa" w:w="160"/>
              <w:bottom w:type="dxa" w:w="90"/>
              <w:right w:type="dxa" w:w="160"/>
            </w:tcMar>
          </w:tcPr>
          <w:p>
            <w:r>
              <w:rPr>
                <w:rFonts w:ascii="Arial" w:cs="Arial" w:eastAsia="Arial" w:hAnsi="Arial"/>
                <w:b/>
                <w:bCs/>
                <w:color w:val="FFFFFF"/>
                <w:sz w:val="20"/>
                <w:szCs w:val="20"/>
              </w:rPr>
              <w:t xml:space="preserve">What It Shows the Public</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Residence Name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Ernest &amp; Johnnie White Recovery House / Grace House</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Address</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Full address + embedded map</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Population Served</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Men only / Women only / Co-ed</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NARR Level</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Level II — Peer-Supported Recovery Residence (with badge)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NARR Certification Status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Certified / Pending / Not Currently Certified</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Bed Availability</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Available now: __ beds  (updated in real time from operator dashboard)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Room Types Available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Shared room / Private room / Private with bathroom</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Program Fees</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Shared: $175/week  ·  Private: $200/week  (or residence-specific)</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MAT/MOUD Policy</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Fully supported — all FDA-approved medications welcomed</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Supervision Accepted</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Yes — works with probation, parole, and IDOC</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Recovery Pathways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All pathways honored — 12-step, SMART, faith-based, secular</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Program Phases</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Phase 1 / 2 / 3 — brief description of each</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Minimum Stay</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30 days recommended / 6–12 months average</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Application Process</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Step-by-step: contact, screening, intake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Contact Information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Phone, warmline, email, referral form button</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Program Operator</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Grace For Addictions (501(c)(3) Recovery Community Organization)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Services Provided</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Peer coaching, recovery navigation, transportation, crisis support</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Reentry Friendly</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Yes — men/women transitioning from incarceration welcomed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1B2A4A"/>
                <w:sz w:val="20"/>
                <w:szCs w:val="20"/>
              </w:rPr>
              <w:t xml:space="preserve">Faith Requirement</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val="false"/>
                <w:bCs w:val="false"/>
                <w:color w:val="000000"/>
                <w:sz w:val="20"/>
                <w:szCs w:val="20"/>
              </w:rPr>
              <w:t xml:space="preserve">None — all recovery pathways and beliefs equally welcomed</w:t>
            </w:r>
          </w:p>
        </w:tc>
      </w:tr>
      <w:tr>
        <w:trPr>
          <w:tblHeader w:val="false"/>
        </w:trPr>
        <w:tc>
          <w:tcPr>
            <w:tcW w:type="dxa" w:w="320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1B2A4A"/>
                <w:sz w:val="20"/>
                <w:szCs w:val="20"/>
              </w:rPr>
              <w:t xml:space="preserve">Testimonials (Optional)</w:t>
            </w:r>
          </w:p>
        </w:tc>
        <w:tc>
          <w:tcPr>
            <w:tcW w:type="dxa" w:w="6160"/>
            <w:tcBorders>
              <w:top w:val="single" w:color="CCCCCC" w:sz="1"/>
              <w:left w:val="single" w:color="CCCCCC" w:sz="1"/>
              <w:bottom w:val="single" w:color="CCCCCC" w:sz="1"/>
              <w:right w:val="single" w:color="CCCCCC" w:sz="1"/>
            </w:tcBorders>
            <w:shd w:fill="EEF2F7" w:val="clear"/>
            <w:tcMar>
              <w:top w:type="dxa" w:w="90"/>
              <w:left w:type="dxa" w:w="160"/>
              <w:bottom w:type="dxa" w:w="90"/>
              <w:right w:type="dxa" w:w="160"/>
            </w:tcMar>
          </w:tcPr>
          <w:p>
            <w:r>
              <w:rPr>
                <w:rFonts w:ascii="Arial" w:cs="Arial" w:eastAsia="Arial" w:hAnsi="Arial"/>
                <w:b w:val="false"/>
                <w:bCs w:val="false"/>
                <w:color w:val="000000"/>
                <w:sz w:val="20"/>
                <w:szCs w:val="20"/>
              </w:rPr>
              <w:t xml:space="preserve">Anonymous — 'What recovery housing meant to me'</w:t>
            </w:r>
          </w:p>
        </w:tc>
      </w:tr>
    </w:tbl>
    <w:p>
      <w:pPr>
        <w:spacing w:after="0" w:before="200"/>
      </w:pPr>
      <w:r>
        <w:t xml:space="preserve"/>
      </w:r>
    </w:p>
    <w:p>
      <w:pPr>
        <w:pBdr>
          <w:bottom w:val="single" w:color="1B2A4A" w:sz="8" w:space="4"/>
        </w:pBdr>
        <w:spacing w:after="140" w:before="340"/>
      </w:pPr>
      <w:r>
        <w:rPr>
          <w:rFonts w:ascii="Arial" w:cs="Arial" w:eastAsia="Arial" w:hAnsi="Arial"/>
          <w:b/>
          <w:bCs/>
          <w:color w:val="1B2A4A"/>
          <w:sz w:val="30"/>
          <w:szCs w:val="30"/>
        </w:rPr>
        <w:t xml:space="preserve">Section 6 — Integration Plan: Build Phases</w:t>
      </w:r>
    </w:p>
    <w:p>
      <w:pPr>
        <w:spacing w:after="60" w:before="60"/>
      </w:pPr>
      <w:r>
        <w:rPr>
          <w:rFonts w:ascii="Arial" w:cs="Arial" w:eastAsia="Arial" w:hAnsi="Arial"/>
          <w:sz w:val="21"/>
          <w:szCs w:val="21"/>
        </w:rPr>
        <w:t xml:space="preserve">The integration plan connects the new Provider Hub to the existing VRCC v6 schema and Base44 platform. Work is sequenced so each phase produces functional value without waiting for the full build to complete.</w:t>
      </w:r>
    </w:p>
    <w:p>
      <w:pPr>
        <w:spacing w:after="0" w:before="120"/>
      </w:pPr>
      <w:r>
        <w:t xml:space="preserve"/>
      </w:r>
    </w:p>
    <w:p>
      <w:pPr>
        <w:spacing w:after="100" w:before="240"/>
      </w:pPr>
      <w:r>
        <w:rPr>
          <w:rFonts w:ascii="Arial" w:cs="Arial" w:eastAsia="Arial" w:hAnsi="Arial"/>
          <w:b/>
          <w:bCs/>
          <w:color w:val="2C3E50"/>
          <w:sz w:val="24"/>
          <w:szCs w:val="24"/>
        </w:rPr>
        <w:t xml:space="preserve">Phase 1 — Foundation (Weeks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6B74" w:sz="18"/>
              <w:bottom w:val="none" w:color="FFFFFF" w:sz="0"/>
              <w:right w:val="none" w:color="FFFFFF" w:sz="0"/>
            </w:tcBorders>
            <w:shd w:fill="EEF2F7" w:val="clear"/>
            <w:tcMar>
              <w:top w:type="dxa" w:w="110"/>
              <w:left w:type="dxa" w:w="280"/>
              <w:bottom w:type="dxa" w:w="110"/>
              <w:right w:type="dxa" w:w="160"/>
            </w:tcMar>
          </w:tcPr>
          <w:p>
            <w:pPr>
              <w:spacing w:after="40" w:before="0"/>
            </w:pPr>
            <w:r>
              <w:rPr>
                <w:rFonts w:ascii="Arial" w:cs="Arial" w:eastAsia="Arial" w:hAnsi="Arial"/>
                <w:b/>
                <w:bCs/>
                <w:color w:val="0D6B74"/>
                <w:sz w:val="21"/>
                <w:szCs w:val="21"/>
              </w:rPr>
              <w:t xml:space="preserve">Deliverable</w:t>
            </w:r>
          </w:p>
          <w:p>
            <w:pPr>
              <w:spacing w:after="0" w:before="0"/>
            </w:pPr>
            <w:r>
              <w:rPr>
                <w:rFonts w:ascii="Arial" w:cs="Arial" w:eastAsia="Arial" w:hAnsi="Arial"/>
                <w:sz w:val="20"/>
                <w:szCs w:val="20"/>
              </w:rPr>
              <w:t xml:space="preserve">The two seeded residence profiles are live in the VRCC database, the Operator Dashboard Room 1 is functional for both Grace House and EJWRH, and the public directory displays both residences with real-time bed availability.</w:t>
            </w:r>
          </w:p>
        </w:tc>
      </w:tr>
    </w:tbl>
    <w:p>
      <w:pPr>
        <w:spacing w:after="0" w:before="80"/>
      </w:pPr>
      <w:r>
        <w:t xml:space="preserve"/>
      </w:r>
    </w:p>
    <w:p>
      <w:pPr>
        <w:pStyle w:val="ListParagraph"/>
        <w:numPr>
          <w:ilvl w:val="0"/>
          <w:numId w:val="4"/>
        </w:numPr>
        <w:spacing w:after="50" w:before="50"/>
      </w:pPr>
      <w:r>
        <w:rPr>
          <w:rFonts w:ascii="Arial" w:cs="Arial" w:eastAsia="Arial" w:hAnsi="Arial"/>
          <w:sz w:val="21"/>
          <w:szCs w:val="21"/>
        </w:rPr>
        <w:t xml:space="preserve">Create gfa_residence schema with 16 core tables in Supabase</w:t>
      </w:r>
    </w:p>
    <w:p>
      <w:pPr>
        <w:pStyle w:val="ListParagraph"/>
        <w:numPr>
          <w:ilvl w:val="0"/>
          <w:numId w:val="4"/>
        </w:numPr>
        <w:spacing w:after="50" w:before="50"/>
      </w:pPr>
      <w:r>
        <w:rPr>
          <w:rFonts w:ascii="Arial" w:cs="Arial" w:eastAsia="Arial" w:hAnsi="Arial"/>
          <w:sz w:val="21"/>
          <w:szCs w:val="21"/>
        </w:rPr>
        <w:t xml:space="preserve">Seed Grace House residence record (women's program, address-generic master)</w:t>
      </w:r>
    </w:p>
    <w:p>
      <w:pPr>
        <w:pStyle w:val="ListParagraph"/>
        <w:numPr>
          <w:ilvl w:val="0"/>
          <w:numId w:val="4"/>
        </w:numPr>
        <w:spacing w:after="50" w:before="50"/>
      </w:pPr>
      <w:r>
        <w:rPr>
          <w:rFonts w:ascii="Arial" w:cs="Arial" w:eastAsia="Arial" w:hAnsi="Arial"/>
          <w:sz w:val="21"/>
          <w:szCs w:val="21"/>
        </w:rPr>
        <w:t xml:space="preserve">Seed Ernest &amp; Johnnie White Recovery House record (men's, 1414 12th St)</w:t>
      </w:r>
    </w:p>
    <w:p>
      <w:pPr>
        <w:pStyle w:val="ListParagraph"/>
        <w:numPr>
          <w:ilvl w:val="0"/>
          <w:numId w:val="4"/>
        </w:numPr>
        <w:spacing w:after="50" w:before="50"/>
      </w:pPr>
      <w:r>
        <w:rPr>
          <w:rFonts w:ascii="Arial" w:cs="Arial" w:eastAsia="Arial" w:hAnsi="Arial"/>
          <w:sz w:val="21"/>
          <w:szCs w:val="21"/>
        </w:rPr>
        <w:t xml:space="preserve">Build Operator Dashboard — Room 1: bed management, waitlist, drug test log, intake checklist</w:t>
      </w:r>
    </w:p>
    <w:p>
      <w:pPr>
        <w:pStyle w:val="ListParagraph"/>
        <w:numPr>
          <w:ilvl w:val="0"/>
          <w:numId w:val="4"/>
        </w:numPr>
        <w:spacing w:after="50" w:before="50"/>
      </w:pPr>
      <w:r>
        <w:rPr>
          <w:rFonts w:ascii="Arial" w:cs="Arial" w:eastAsia="Arial" w:hAnsi="Arial"/>
          <w:sz w:val="21"/>
          <w:szCs w:val="21"/>
        </w:rPr>
        <w:t xml:space="preserve">Build Public Directory — Room 3: map display, both profiles, referral form</w:t>
      </w:r>
    </w:p>
    <w:p>
      <w:pPr>
        <w:pStyle w:val="ListParagraph"/>
        <w:numPr>
          <w:ilvl w:val="0"/>
          <w:numId w:val="4"/>
        </w:numPr>
        <w:spacing w:after="50" w:before="50"/>
      </w:pPr>
      <w:r>
        <w:rPr>
          <w:rFonts w:ascii="Arial" w:cs="Arial" w:eastAsia="Arial" w:hAnsi="Arial"/>
          <w:sz w:val="21"/>
          <w:szCs w:val="21"/>
        </w:rPr>
        <w:t xml:space="preserve">Connect bed availability to public profile (real-time occupancy → availability display)</w:t>
      </w:r>
    </w:p>
    <w:p>
      <w:pPr>
        <w:spacing w:after="0" w:before="80"/>
      </w:pPr>
      <w:r>
        <w:t xml:space="preserve"/>
      </w:r>
    </w:p>
    <w:p>
      <w:pPr>
        <w:spacing w:after="100" w:before="240"/>
      </w:pPr>
      <w:r>
        <w:rPr>
          <w:rFonts w:ascii="Arial" w:cs="Arial" w:eastAsia="Arial" w:hAnsi="Arial"/>
          <w:b/>
          <w:bCs/>
          <w:color w:val="2C3E50"/>
          <w:sz w:val="24"/>
          <w:szCs w:val="24"/>
        </w:rPr>
        <w:t xml:space="preserve">Phase 2 — Resident Portal (Weeks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6B74" w:sz="18"/>
              <w:bottom w:val="none" w:color="FFFFFF" w:sz="0"/>
              <w:right w:val="none" w:color="FFFFFF" w:sz="0"/>
            </w:tcBorders>
            <w:shd w:fill="EEF2F7" w:val="clear"/>
            <w:tcMar>
              <w:top w:type="dxa" w:w="110"/>
              <w:left w:type="dxa" w:w="280"/>
              <w:bottom w:type="dxa" w:w="110"/>
              <w:right w:type="dxa" w:w="160"/>
            </w:tcMar>
          </w:tcPr>
          <w:p>
            <w:pPr>
              <w:spacing w:after="40" w:before="0"/>
            </w:pPr>
            <w:r>
              <w:rPr>
                <w:rFonts w:ascii="Arial" w:cs="Arial" w:eastAsia="Arial" w:hAnsi="Arial"/>
                <w:b/>
                <w:bCs/>
                <w:color w:val="0D6B74"/>
                <w:sz w:val="21"/>
                <w:szCs w:val="21"/>
              </w:rPr>
              <w:t xml:space="preserve">Deliverable</w:t>
            </w:r>
          </w:p>
          <w:p>
            <w:pPr>
              <w:spacing w:after="0" w:before="0"/>
            </w:pPr>
            <w:r>
              <w:rPr>
                <w:rFonts w:ascii="Arial" w:cs="Arial" w:eastAsia="Arial" w:hAnsi="Arial"/>
                <w:sz w:val="20"/>
                <w:szCs w:val="20"/>
              </w:rPr>
              <w:t xml:space="preserve">Residents can log in, complete daily check-ins, track their IRP goals, pay fees, access the warmline, and see their phase progress. House community board is live.</w:t>
            </w:r>
          </w:p>
        </w:tc>
      </w:tr>
    </w:tbl>
    <w:p>
      <w:pPr>
        <w:spacing w:after="0" w:before="80"/>
      </w:pPr>
      <w:r>
        <w:t xml:space="preserve"/>
      </w:r>
    </w:p>
    <w:p>
      <w:pPr>
        <w:pStyle w:val="ListParagraph"/>
        <w:numPr>
          <w:ilvl w:val="0"/>
          <w:numId w:val="4"/>
        </w:numPr>
        <w:spacing w:after="50" w:before="50"/>
      </w:pPr>
      <w:r>
        <w:rPr>
          <w:rFonts w:ascii="Arial" w:cs="Arial" w:eastAsia="Arial" w:hAnsi="Arial"/>
          <w:sz w:val="21"/>
          <w:szCs w:val="21"/>
        </w:rPr>
        <w:t xml:space="preserve">Build Resident Portal — Room 2: daily check-in, IRP tracker, phase progress visualization</w:t>
      </w:r>
    </w:p>
    <w:p>
      <w:pPr>
        <w:pStyle w:val="ListParagraph"/>
        <w:numPr>
          <w:ilvl w:val="0"/>
          <w:numId w:val="4"/>
        </w:numPr>
        <w:spacing w:after="50" w:before="50"/>
      </w:pPr>
      <w:r>
        <w:rPr>
          <w:rFonts w:ascii="Arial" w:cs="Arial" w:eastAsia="Arial" w:hAnsi="Arial"/>
          <w:sz w:val="21"/>
          <w:szCs w:val="21"/>
        </w:rPr>
        <w:t xml:space="preserve">Implement daily_checkins table with alert triggers (mood 1 or 2 → staff flag)</w:t>
      </w:r>
    </w:p>
    <w:p>
      <w:pPr>
        <w:pStyle w:val="ListParagraph"/>
        <w:numPr>
          <w:ilvl w:val="0"/>
          <w:numId w:val="4"/>
        </w:numPr>
        <w:spacing w:after="50" w:before="50"/>
      </w:pPr>
      <w:r>
        <w:rPr>
          <w:rFonts w:ascii="Arial" w:cs="Arial" w:eastAsia="Arial" w:hAnsi="Arial"/>
          <w:sz w:val="21"/>
          <w:szCs w:val="21"/>
        </w:rPr>
        <w:t xml:space="preserve">Build irp_goals tracker — 8 life domains, milestone celebration at 30/60/90 days</w:t>
      </w:r>
    </w:p>
    <w:p>
      <w:pPr>
        <w:pStyle w:val="ListParagraph"/>
        <w:numPr>
          <w:ilvl w:val="0"/>
          <w:numId w:val="4"/>
        </w:numPr>
        <w:spacing w:after="50" w:before="50"/>
      </w:pPr>
      <w:r>
        <w:rPr>
          <w:rFonts w:ascii="Arial" w:cs="Arial" w:eastAsia="Arial" w:hAnsi="Arial"/>
          <w:sz w:val="21"/>
          <w:szCs w:val="21"/>
        </w:rPr>
        <w:t xml:space="preserve">Fee ledger — resident can see balance, payment history, request payment plan</w:t>
      </w:r>
    </w:p>
    <w:p>
      <w:pPr>
        <w:pStyle w:val="ListParagraph"/>
        <w:numPr>
          <w:ilvl w:val="0"/>
          <w:numId w:val="4"/>
        </w:numPr>
        <w:spacing w:after="50" w:before="50"/>
      </w:pPr>
      <w:r>
        <w:rPr>
          <w:rFonts w:ascii="Arial" w:cs="Arial" w:eastAsia="Arial" w:hAnsi="Arial"/>
          <w:sz w:val="21"/>
          <w:szCs w:val="21"/>
        </w:rPr>
        <w:t xml:space="preserve">House community board — announcements, meeting notes, milestone posts</w:t>
      </w:r>
    </w:p>
    <w:p>
      <w:pPr>
        <w:pStyle w:val="ListParagraph"/>
        <w:numPr>
          <w:ilvl w:val="0"/>
          <w:numId w:val="4"/>
        </w:numPr>
        <w:spacing w:after="50" w:before="50"/>
      </w:pPr>
      <w:r>
        <w:rPr>
          <w:rFonts w:ascii="Arial" w:cs="Arial" w:eastAsia="Arial" w:hAnsi="Arial"/>
          <w:sz w:val="21"/>
          <w:szCs w:val="21"/>
        </w:rPr>
        <w:t xml:space="preserve">Warmline integration — in-app button to 515-310-DIAL (3425)</w:t>
      </w:r>
    </w:p>
    <w:p>
      <w:pPr>
        <w:spacing w:after="0" w:before="80"/>
      </w:pPr>
      <w:r>
        <w:t xml:space="preserve"/>
      </w:r>
    </w:p>
    <w:p>
      <w:pPr>
        <w:spacing w:after="100" w:before="240"/>
      </w:pPr>
      <w:r>
        <w:rPr>
          <w:rFonts w:ascii="Arial" w:cs="Arial" w:eastAsia="Arial" w:hAnsi="Arial"/>
          <w:b/>
          <w:bCs/>
          <w:color w:val="2C3E50"/>
          <w:sz w:val="24"/>
          <w:szCs w:val="24"/>
        </w:rPr>
        <w:t xml:space="preserve">Phase 3 — NARR Compliance Automation (Weeks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6B74" w:sz="18"/>
              <w:bottom w:val="none" w:color="FFFFFF" w:sz="0"/>
              <w:right w:val="none" w:color="FFFFFF" w:sz="0"/>
            </w:tcBorders>
            <w:shd w:fill="EEF2F7" w:val="clear"/>
            <w:tcMar>
              <w:top w:type="dxa" w:w="110"/>
              <w:left w:type="dxa" w:w="280"/>
              <w:bottom w:type="dxa" w:w="110"/>
              <w:right w:type="dxa" w:w="160"/>
            </w:tcMar>
          </w:tcPr>
          <w:p>
            <w:pPr>
              <w:spacing w:after="40" w:before="0"/>
            </w:pPr>
            <w:r>
              <w:rPr>
                <w:rFonts w:ascii="Arial" w:cs="Arial" w:eastAsia="Arial" w:hAnsi="Arial"/>
                <w:b/>
                <w:bCs/>
                <w:color w:val="0D6B74"/>
                <w:sz w:val="21"/>
                <w:szCs w:val="21"/>
              </w:rPr>
              <w:t xml:space="preserve">Deliverable</w:t>
            </w:r>
          </w:p>
          <w:p>
            <w:pPr>
              <w:spacing w:after="0" w:before="0"/>
            </w:pPr>
            <w:r>
              <w:rPr>
                <w:rFonts w:ascii="Arial" w:cs="Arial" w:eastAsia="Arial" w:hAnsi="Arial"/>
                <w:sz w:val="20"/>
                <w:szCs w:val="20"/>
              </w:rPr>
              <w:t xml:space="preserve">NARR compliance tracker is live with all 31 standards. Daily workflow actions automatically update compliance status. Annual review calendar is set. Iowa HHS checklist is tracked.</w:t>
            </w:r>
          </w:p>
        </w:tc>
      </w:tr>
    </w:tbl>
    <w:p>
      <w:pPr>
        <w:spacing w:after="0" w:before="80"/>
      </w:pPr>
      <w:r>
        <w:t xml:space="preserve"/>
      </w:r>
    </w:p>
    <w:p>
      <w:pPr>
        <w:pStyle w:val="ListParagraph"/>
        <w:numPr>
          <w:ilvl w:val="0"/>
          <w:numId w:val="4"/>
        </w:numPr>
        <w:spacing w:after="50" w:before="50"/>
      </w:pPr>
      <w:r>
        <w:rPr>
          <w:rFonts w:ascii="Arial" w:cs="Arial" w:eastAsia="Arial" w:hAnsi="Arial"/>
          <w:sz w:val="21"/>
          <w:szCs w:val="21"/>
        </w:rPr>
        <w:t xml:space="preserve">Build narr_compliance table — all 31 standards, all 4 domains, evidence links</w:t>
      </w:r>
    </w:p>
    <w:p>
      <w:pPr>
        <w:pStyle w:val="ListParagraph"/>
        <w:numPr>
          <w:ilvl w:val="0"/>
          <w:numId w:val="4"/>
        </w:numPr>
        <w:spacing w:after="50" w:before="50"/>
      </w:pPr>
      <w:r>
        <w:rPr>
          <w:rFonts w:ascii="Arial" w:cs="Arial" w:eastAsia="Arial" w:hAnsi="Arial"/>
          <w:sz w:val="21"/>
          <w:szCs w:val="21"/>
        </w:rPr>
        <w:t xml:space="preserve">Connect workflow actions to compliance triggers (drug test log → 2.F.16.c met)</w:t>
      </w:r>
    </w:p>
    <w:p>
      <w:pPr>
        <w:pStyle w:val="ListParagraph"/>
        <w:numPr>
          <w:ilvl w:val="0"/>
          <w:numId w:val="4"/>
        </w:numPr>
        <w:spacing w:after="50" w:before="50"/>
      </w:pPr>
      <w:r>
        <w:rPr>
          <w:rFonts w:ascii="Arial" w:cs="Arial" w:eastAsia="Arial" w:hAnsi="Arial"/>
          <w:sz w:val="21"/>
          <w:szCs w:val="21"/>
        </w:rPr>
        <w:t xml:space="preserve">Build iowa_hhs_checklist tracker — 7-item eligibility verification</w:t>
      </w:r>
    </w:p>
    <w:p>
      <w:pPr>
        <w:pStyle w:val="ListParagraph"/>
        <w:numPr>
          <w:ilvl w:val="0"/>
          <w:numId w:val="4"/>
        </w:numPr>
        <w:spacing w:after="50" w:before="50"/>
      </w:pPr>
      <w:r>
        <w:rPr>
          <w:rFonts w:ascii="Arial" w:cs="Arial" w:eastAsia="Arial" w:hAnsi="Arial"/>
          <w:sz w:val="21"/>
          <w:szCs w:val="21"/>
        </w:rPr>
        <w:t xml:space="preserve">Annual compliance calendar — auto-schedule review tasks 90 days before expiration</w:t>
      </w:r>
    </w:p>
    <w:p>
      <w:pPr>
        <w:pStyle w:val="ListParagraph"/>
        <w:numPr>
          <w:ilvl w:val="0"/>
          <w:numId w:val="4"/>
        </w:numPr>
        <w:spacing w:after="50" w:before="50"/>
      </w:pPr>
      <w:r>
        <w:rPr>
          <w:rFonts w:ascii="Arial" w:cs="Arial" w:eastAsia="Arial" w:hAnsi="Arial"/>
          <w:sz w:val="21"/>
          <w:szCs w:val="21"/>
        </w:rPr>
        <w:t xml:space="preserve">NARR certification badge on public profile — updates when compliance confirmed</w:t>
      </w:r>
    </w:p>
    <w:p>
      <w:pPr>
        <w:spacing w:after="0" w:before="80"/>
      </w:pPr>
      <w:r>
        <w:t xml:space="preserve"/>
      </w:r>
    </w:p>
    <w:p>
      <w:pPr>
        <w:spacing w:after="100" w:before="240"/>
      </w:pPr>
      <w:r>
        <w:rPr>
          <w:rFonts w:ascii="Arial" w:cs="Arial" w:eastAsia="Arial" w:hAnsi="Arial"/>
          <w:b/>
          <w:bCs/>
          <w:color w:val="2C3E50"/>
          <w:sz w:val="24"/>
          <w:szCs w:val="24"/>
        </w:rPr>
        <w:t xml:space="preserve">Phase 4 — Referral Partner Portal &amp; Reporting (Weeks 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6B74" w:sz="18"/>
              <w:bottom w:val="none" w:color="FFFFFF" w:sz="0"/>
              <w:right w:val="none" w:color="FFFFFF" w:sz="0"/>
            </w:tcBorders>
            <w:shd w:fill="EEF2F7" w:val="clear"/>
            <w:tcMar>
              <w:top w:type="dxa" w:w="110"/>
              <w:left w:type="dxa" w:w="280"/>
              <w:bottom w:type="dxa" w:w="110"/>
              <w:right w:type="dxa" w:w="160"/>
            </w:tcMar>
          </w:tcPr>
          <w:p>
            <w:pPr>
              <w:spacing w:after="40" w:before="0"/>
            </w:pPr>
            <w:r>
              <w:rPr>
                <w:rFonts w:ascii="Arial" w:cs="Arial" w:eastAsia="Arial" w:hAnsi="Arial"/>
                <w:b/>
                <w:bCs/>
                <w:color w:val="0D6B74"/>
                <w:sz w:val="21"/>
                <w:szCs w:val="21"/>
              </w:rPr>
              <w:t xml:space="preserve">Deliverable</w:t>
            </w:r>
          </w:p>
          <w:p>
            <w:pPr>
              <w:spacing w:after="0" w:before="0"/>
            </w:pPr>
            <w:r>
              <w:rPr>
                <w:rFonts w:ascii="Arial" w:cs="Arial" w:eastAsia="Arial" w:hAnsi="Arial"/>
                <w:sz w:val="20"/>
                <w:szCs w:val="20"/>
              </w:rPr>
              <w:t xml:space="preserve">Referral partners can submit referrals, view authorized participant status, and receive auto-generated supervision compliance reports. Iowa HHS data export is functional.</w:t>
            </w:r>
          </w:p>
        </w:tc>
      </w:tr>
    </w:tbl>
    <w:p>
      <w:pPr>
        <w:spacing w:after="0" w:before="80"/>
      </w:pPr>
      <w:r>
        <w:t xml:space="preserve"/>
      </w:r>
    </w:p>
    <w:p>
      <w:pPr>
        <w:pStyle w:val="ListParagraph"/>
        <w:numPr>
          <w:ilvl w:val="0"/>
          <w:numId w:val="4"/>
        </w:numPr>
        <w:spacing w:after="50" w:before="50"/>
      </w:pPr>
      <w:r>
        <w:rPr>
          <w:rFonts w:ascii="Arial" w:cs="Arial" w:eastAsia="Arial" w:hAnsi="Arial"/>
          <w:sz w:val="21"/>
          <w:szCs w:val="21"/>
        </w:rPr>
        <w:t xml:space="preserve">Build Referral Partner Portal — Room 4: credentialed login, referral submission, authorized participant status</w:t>
      </w:r>
    </w:p>
    <w:p>
      <w:pPr>
        <w:pStyle w:val="ListParagraph"/>
        <w:numPr>
          <w:ilvl w:val="0"/>
          <w:numId w:val="4"/>
        </w:numPr>
        <w:spacing w:after="50" w:before="50"/>
      </w:pPr>
      <w:r>
        <w:rPr>
          <w:rFonts w:ascii="Arial" w:cs="Arial" w:eastAsia="Arial" w:hAnsi="Arial"/>
          <w:sz w:val="21"/>
          <w:szCs w:val="21"/>
        </w:rPr>
        <w:t xml:space="preserve">Auto-generate supervision compliance reports from participant data (drug tests, attendance, phase, status)</w:t>
      </w:r>
    </w:p>
    <w:p>
      <w:pPr>
        <w:pStyle w:val="ListParagraph"/>
        <w:numPr>
          <w:ilvl w:val="0"/>
          <w:numId w:val="4"/>
        </w:numPr>
        <w:spacing w:after="50" w:before="50"/>
      </w:pPr>
      <w:r>
        <w:rPr>
          <w:rFonts w:ascii="Arial" w:cs="Arial" w:eastAsia="Arial" w:hAnsi="Arial"/>
          <w:sz w:val="21"/>
          <w:szCs w:val="21"/>
        </w:rPr>
        <w:t xml:space="preserve">Iowa HHS data export — formatted per Exhibit E requirements</w:t>
      </w:r>
    </w:p>
    <w:p>
      <w:pPr>
        <w:pStyle w:val="ListParagraph"/>
        <w:numPr>
          <w:ilvl w:val="0"/>
          <w:numId w:val="4"/>
        </w:numPr>
        <w:spacing w:after="50" w:before="50"/>
      </w:pPr>
      <w:r>
        <w:rPr>
          <w:rFonts w:ascii="Arial" w:cs="Arial" w:eastAsia="Arial" w:hAnsi="Arial"/>
          <w:sz w:val="21"/>
          <w:szCs w:val="21"/>
        </w:rPr>
        <w:t xml:space="preserve">Referral outcome tracking — did the referred person get housed? Phase? Discharge type?</w:t>
      </w:r>
    </w:p>
    <w:p>
      <w:pPr>
        <w:pStyle w:val="ListParagraph"/>
        <w:numPr>
          <w:ilvl w:val="0"/>
          <w:numId w:val="4"/>
        </w:numPr>
        <w:spacing w:after="50" w:before="50"/>
      </w:pPr>
      <w:r>
        <w:rPr>
          <w:rFonts w:ascii="Arial" w:cs="Arial" w:eastAsia="Arial" w:hAnsi="Arial"/>
          <w:sz w:val="21"/>
          <w:szCs w:val="21"/>
        </w:rPr>
        <w:t xml:space="preserve">Notification system — referral partner notified on intake, phase change, and discharge</w:t>
      </w:r>
    </w:p>
    <w:p>
      <w:pPr>
        <w:spacing w:after="0" w:before="200"/>
      </w:pPr>
      <w:r>
        <w:t xml:space="preserve"/>
      </w:r>
    </w:p>
    <w:p>
      <w:r>
        <w:br w:type="page"/>
      </w:r>
    </w:p>
    <w:p>
      <w:pPr>
        <w:pBdr>
          <w:bottom w:val="single" w:color="1B2A4A" w:sz="8" w:space="4"/>
        </w:pBdr>
        <w:spacing w:after="140" w:before="340"/>
      </w:pPr>
      <w:r>
        <w:rPr>
          <w:rFonts w:ascii="Arial" w:cs="Arial" w:eastAsia="Arial" w:hAnsi="Arial"/>
          <w:b/>
          <w:bCs/>
          <w:color w:val="1B2A4A"/>
          <w:sz w:val="30"/>
          <w:szCs w:val="30"/>
        </w:rPr>
        <w:t xml:space="preserve">Section 7 — What 'Better Than a Sobriety Hub' Actually Means</w:t>
      </w:r>
    </w:p>
    <w:p>
      <w:pPr>
        <w:spacing w:after="60" w:before="60"/>
      </w:pPr>
      <w:r>
        <w:rPr>
          <w:rFonts w:ascii="Arial" w:cs="Arial" w:eastAsia="Arial" w:hAnsi="Arial"/>
          <w:sz w:val="21"/>
          <w:szCs w:val="21"/>
        </w:rPr>
        <w:t xml:space="preserve">The design standard for this Hub is not a compliance portal. It is not a dashboard of red/yellow/green lights. It is a living, breathing tool that serves the people in these houses — and makes the operators who serve them stronger, faster, and more protected.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8"/>
              <w:bottom w:val="none" w:color="FFFFFF" w:sz="0"/>
              <w:right w:val="none" w:color="FFFFFF" w:sz="0"/>
            </w:tcBorders>
            <w:shd w:fill="EEF2F7" w:val="clear"/>
            <w:tcMar>
              <w:top w:type="dxa" w:w="110"/>
              <w:left w:type="dxa" w:w="280"/>
              <w:bottom w:type="dxa" w:w="110"/>
              <w:right w:type="dxa" w:w="160"/>
            </w:tcMar>
          </w:tcPr>
          <w:p>
            <w:pPr>
              <w:spacing w:after="40" w:before="0"/>
            </w:pPr>
            <w:r>
              <w:rPr>
                <w:rFonts w:ascii="Arial" w:cs="Arial" w:eastAsia="Arial" w:hAnsi="Arial"/>
                <w:b/>
                <w:bCs/>
                <w:color w:val="1B2A4A"/>
                <w:sz w:val="21"/>
                <w:szCs w:val="21"/>
              </w:rPr>
              <w:t xml:space="preserve">The Test</w:t>
            </w:r>
          </w:p>
          <w:p>
            <w:pPr>
              <w:spacing w:after="0" w:before="0"/>
            </w:pPr>
            <w:r>
              <w:rPr>
                <w:rFonts w:ascii="Arial" w:cs="Arial" w:eastAsia="Arial" w:hAnsi="Arial"/>
                <w:sz w:val="20"/>
                <w:szCs w:val="20"/>
              </w:rPr>
              <w:t xml:space="preserve">If a resident in Phase 1 with 18 days clean can open this app at 11pm when he's struggling and feel seen, supported, and connected — we built it right. If a House Manager can walk into a NARR site visit with complete confidence that every standard is documented without having done any extra work — we built it right. If a probation officer can submit a referral at 4:45pm on a Friday and know it was received — we built it right.</w:t>
            </w:r>
          </w:p>
        </w:tc>
      </w:tr>
    </w:tbl>
    <w:p>
      <w:pPr>
        <w:spacing w:after="0" w:before="120"/>
      </w:pPr>
      <w:r>
        <w:t xml:space="preserve"/>
      </w:r>
    </w:p>
    <w:p>
      <w:pPr>
        <w:spacing w:after="100" w:before="240"/>
      </w:pPr>
      <w:r>
        <w:rPr>
          <w:rFonts w:ascii="Arial" w:cs="Arial" w:eastAsia="Arial" w:hAnsi="Arial"/>
          <w:b/>
          <w:bCs/>
          <w:color w:val="2C3E50"/>
          <w:sz w:val="24"/>
          <w:szCs w:val="24"/>
        </w:rPr>
        <w:t xml:space="preserve">For Residents — What They Experience</w:t>
      </w:r>
    </w:p>
    <w:p>
      <w:pPr>
        <w:pStyle w:val="ListParagraph"/>
        <w:numPr>
          <w:ilvl w:val="0"/>
          <w:numId w:val="3"/>
        </w:numPr>
        <w:spacing w:after="50" w:before="50"/>
      </w:pPr>
      <w:r>
        <w:rPr>
          <w:rFonts w:ascii="Arial" w:cs="Arial" w:eastAsia="Arial" w:hAnsi="Arial"/>
          <w:sz w:val="21"/>
          <w:szCs w:val="21"/>
        </w:rPr>
        <w:t xml:space="preserve">Open the app — see their name, their phase, their days in recovery, and one affirming message</w:t>
      </w:r>
    </w:p>
    <w:p>
      <w:pPr>
        <w:pStyle w:val="ListParagraph"/>
        <w:numPr>
          <w:ilvl w:val="0"/>
          <w:numId w:val="3"/>
        </w:numPr>
        <w:spacing w:after="50" w:before="50"/>
      </w:pPr>
      <w:r>
        <w:rPr>
          <w:rFonts w:ascii="Arial" w:cs="Arial" w:eastAsia="Arial" w:hAnsi="Arial"/>
          <w:sz w:val="21"/>
          <w:szCs w:val="21"/>
        </w:rPr>
        <w:t xml:space="preserve">60-second daily check-in — mood, cravings, focus, gratitude — feels like reflection, not surveillance</w:t>
      </w:r>
    </w:p>
    <w:p>
      <w:pPr>
        <w:pStyle w:val="ListParagraph"/>
        <w:numPr>
          <w:ilvl w:val="0"/>
          <w:numId w:val="3"/>
        </w:numPr>
        <w:spacing w:after="50" w:before="50"/>
      </w:pPr>
      <w:r>
        <w:rPr>
          <w:rFonts w:ascii="Arial" w:cs="Arial" w:eastAsia="Arial" w:hAnsi="Arial"/>
          <w:sz w:val="21"/>
          <w:szCs w:val="21"/>
        </w:rPr>
        <w:t xml:space="preserve">IRP goals they can actually see themselves moving toward — visual progress, milestone celebrations</w:t>
      </w:r>
    </w:p>
    <w:p>
      <w:pPr>
        <w:pStyle w:val="ListParagraph"/>
        <w:numPr>
          <w:ilvl w:val="0"/>
          <w:numId w:val="3"/>
        </w:numPr>
        <w:spacing w:after="50" w:before="50"/>
      </w:pPr>
      <w:r>
        <w:rPr>
          <w:rFonts w:ascii="Arial" w:cs="Arial" w:eastAsia="Arial" w:hAnsi="Arial"/>
          <w:sz w:val="21"/>
          <w:szCs w:val="21"/>
        </w:rPr>
        <w:t xml:space="preserve">One tap to the Warmline when struggling — no hunting for numbers</w:t>
      </w:r>
    </w:p>
    <w:p>
      <w:pPr>
        <w:pStyle w:val="ListParagraph"/>
        <w:numPr>
          <w:ilvl w:val="0"/>
          <w:numId w:val="3"/>
        </w:numPr>
        <w:spacing w:after="50" w:before="50"/>
      </w:pPr>
      <w:r>
        <w:rPr>
          <w:rFonts w:ascii="Arial" w:cs="Arial" w:eastAsia="Arial" w:hAnsi="Arial"/>
          <w:sz w:val="21"/>
          <w:szCs w:val="21"/>
        </w:rPr>
        <w:t xml:space="preserve">See their fee balance and payment history without asking staff</w:t>
      </w:r>
    </w:p>
    <w:p>
      <w:pPr>
        <w:pStyle w:val="ListParagraph"/>
        <w:numPr>
          <w:ilvl w:val="0"/>
          <w:numId w:val="3"/>
        </w:numPr>
        <w:spacing w:after="50" w:before="50"/>
      </w:pPr>
      <w:r>
        <w:rPr>
          <w:rFonts w:ascii="Arial" w:cs="Arial" w:eastAsia="Arial" w:hAnsi="Arial"/>
          <w:sz w:val="21"/>
          <w:szCs w:val="21"/>
        </w:rPr>
        <w:t xml:space="preserve">House community board feels like belonging — not a bulletin board</w:t>
      </w:r>
    </w:p>
    <w:p>
      <w:pPr>
        <w:pStyle w:val="ListParagraph"/>
        <w:numPr>
          <w:ilvl w:val="0"/>
          <w:numId w:val="3"/>
        </w:numPr>
        <w:spacing w:after="50" w:before="50"/>
      </w:pPr>
      <w:r>
        <w:rPr>
          <w:rFonts w:ascii="Arial" w:cs="Arial" w:eastAsia="Arial" w:hAnsi="Arial"/>
          <w:sz w:val="21"/>
          <w:szCs w:val="21"/>
        </w:rPr>
        <w:t xml:space="preserve">Phase advancement shown visually — 'You are here. Here is what comes next.'</w:t>
      </w:r>
    </w:p>
    <w:p>
      <w:pPr>
        <w:spacing w:after="0" w:before="120"/>
      </w:pPr>
      <w:r>
        <w:t xml:space="preserve"/>
      </w:r>
    </w:p>
    <w:p>
      <w:pPr>
        <w:spacing w:after="100" w:before="240"/>
      </w:pPr>
      <w:r>
        <w:rPr>
          <w:rFonts w:ascii="Arial" w:cs="Arial" w:eastAsia="Arial" w:hAnsi="Arial"/>
          <w:b/>
          <w:bCs/>
          <w:color w:val="2C3E50"/>
          <w:sz w:val="24"/>
          <w:szCs w:val="24"/>
        </w:rPr>
        <w:t xml:space="preserve">For House Managers — What They Experience</w:t>
      </w:r>
    </w:p>
    <w:p>
      <w:pPr>
        <w:pStyle w:val="ListParagraph"/>
        <w:numPr>
          <w:ilvl w:val="0"/>
          <w:numId w:val="3"/>
        </w:numPr>
        <w:spacing w:after="50" w:before="50"/>
      </w:pPr>
      <w:r>
        <w:rPr>
          <w:rFonts w:ascii="Arial" w:cs="Arial" w:eastAsia="Arial" w:hAnsi="Arial"/>
          <w:sz w:val="21"/>
          <w:szCs w:val="21"/>
        </w:rPr>
        <w:t xml:space="preserve">Morning snapshot: who checked in, who didn't, who flagged for support, today's drug tests due</w:t>
      </w:r>
    </w:p>
    <w:p>
      <w:pPr>
        <w:pStyle w:val="ListParagraph"/>
        <w:numPr>
          <w:ilvl w:val="0"/>
          <w:numId w:val="3"/>
        </w:numPr>
        <w:spacing w:after="50" w:before="50"/>
      </w:pPr>
      <w:r>
        <w:rPr>
          <w:rFonts w:ascii="Arial" w:cs="Arial" w:eastAsia="Arial" w:hAnsi="Arial"/>
          <w:sz w:val="21"/>
          <w:szCs w:val="21"/>
        </w:rPr>
        <w:t xml:space="preserve">Bed board: live view of every bed — occupied, available, reserved, cleaning</w:t>
      </w:r>
    </w:p>
    <w:p>
      <w:pPr>
        <w:pStyle w:val="ListParagraph"/>
        <w:numPr>
          <w:ilvl w:val="0"/>
          <w:numId w:val="3"/>
        </w:numPr>
        <w:spacing w:after="50" w:before="50"/>
      </w:pPr>
      <w:r>
        <w:rPr>
          <w:rFonts w:ascii="Arial" w:cs="Arial" w:eastAsia="Arial" w:hAnsi="Arial"/>
          <w:sz w:val="21"/>
          <w:szCs w:val="21"/>
        </w:rPr>
        <w:t xml:space="preserve">One screen to log a drug test — result auto-links to participant record, auto-updates NARR 2.F.16.c</w:t>
      </w:r>
    </w:p>
    <w:p>
      <w:pPr>
        <w:pStyle w:val="ListParagraph"/>
        <w:numPr>
          <w:ilvl w:val="0"/>
          <w:numId w:val="3"/>
        </w:numPr>
        <w:spacing w:after="50" w:before="50"/>
      </w:pPr>
      <w:r>
        <w:rPr>
          <w:rFonts w:ascii="Arial" w:cs="Arial" w:eastAsia="Arial" w:hAnsi="Arial"/>
          <w:sz w:val="21"/>
          <w:szCs w:val="21"/>
        </w:rPr>
        <w:t xml:space="preserve">Incident report — fill it once, it goes into the record, notifies ED, generates the follow-up task</w:t>
      </w:r>
    </w:p>
    <w:p>
      <w:pPr>
        <w:pStyle w:val="ListParagraph"/>
        <w:numPr>
          <w:ilvl w:val="0"/>
          <w:numId w:val="3"/>
        </w:numPr>
        <w:spacing w:after="50" w:before="50"/>
      </w:pPr>
      <w:r>
        <w:rPr>
          <w:rFonts w:ascii="Arial" w:cs="Arial" w:eastAsia="Arial" w:hAnsi="Arial"/>
          <w:sz w:val="21"/>
          <w:szCs w:val="21"/>
        </w:rPr>
        <w:t xml:space="preserve">NARR compliance dashboard: green means good, amber means action needed, red means now</w:t>
      </w:r>
    </w:p>
    <w:p>
      <w:pPr>
        <w:pStyle w:val="ListParagraph"/>
        <w:numPr>
          <w:ilvl w:val="0"/>
          <w:numId w:val="3"/>
        </w:numPr>
        <w:spacing w:after="50" w:before="50"/>
      </w:pPr>
      <w:r>
        <w:rPr>
          <w:rFonts w:ascii="Arial" w:cs="Arial" w:eastAsia="Arial" w:hAnsi="Arial"/>
          <w:sz w:val="21"/>
          <w:szCs w:val="21"/>
        </w:rPr>
        <w:t xml:space="preserve">Discharge: one workflow — reason documented, resources generated, notice letter drafted, record closed</w:t>
      </w:r>
    </w:p>
    <w:p>
      <w:pPr>
        <w:spacing w:after="0" w:before="120"/>
      </w:pPr>
      <w:r>
        <w:t xml:space="preserve"/>
      </w:r>
    </w:p>
    <w:p>
      <w:pPr>
        <w:spacing w:after="100" w:before="240"/>
      </w:pPr>
      <w:r>
        <w:rPr>
          <w:rFonts w:ascii="Arial" w:cs="Arial" w:eastAsia="Arial" w:hAnsi="Arial"/>
          <w:b/>
          <w:bCs/>
          <w:color w:val="2C3E50"/>
          <w:sz w:val="24"/>
          <w:szCs w:val="24"/>
        </w:rPr>
        <w:t xml:space="preserve">For the Public &amp; Referral Partners — What They Experience</w:t>
      </w:r>
    </w:p>
    <w:p>
      <w:pPr>
        <w:pStyle w:val="ListParagraph"/>
        <w:numPr>
          <w:ilvl w:val="0"/>
          <w:numId w:val="3"/>
        </w:numPr>
        <w:spacing w:after="50" w:before="50"/>
      </w:pPr>
      <w:r>
        <w:rPr>
          <w:rFonts w:ascii="Arial" w:cs="Arial" w:eastAsia="Arial" w:hAnsi="Arial"/>
          <w:sz w:val="21"/>
          <w:szCs w:val="21"/>
        </w:rPr>
        <w:t xml:space="preserve">Find a recovery house for a man in Des Moines — search takes 10 seconds, result is clear and honest</w:t>
      </w:r>
    </w:p>
    <w:p>
      <w:pPr>
        <w:pStyle w:val="ListParagraph"/>
        <w:numPr>
          <w:ilvl w:val="0"/>
          <w:numId w:val="3"/>
        </w:numPr>
        <w:spacing w:after="50" w:before="50"/>
      </w:pPr>
      <w:r>
        <w:rPr>
          <w:rFonts w:ascii="Arial" w:cs="Arial" w:eastAsia="Arial" w:hAnsi="Arial"/>
          <w:sz w:val="21"/>
          <w:szCs w:val="21"/>
        </w:rPr>
        <w:t xml:space="preserve">MAT/MOUD policy is front and center — not buried, not a call-to-inquire</w:t>
      </w:r>
    </w:p>
    <w:p>
      <w:pPr>
        <w:pStyle w:val="ListParagraph"/>
        <w:numPr>
          <w:ilvl w:val="0"/>
          <w:numId w:val="3"/>
        </w:numPr>
        <w:spacing w:after="50" w:before="50"/>
      </w:pPr>
      <w:r>
        <w:rPr>
          <w:rFonts w:ascii="Arial" w:cs="Arial" w:eastAsia="Arial" w:hAnsi="Arial"/>
          <w:sz w:val="21"/>
          <w:szCs w:val="21"/>
        </w:rPr>
        <w:t xml:space="preserve">Real bed availability — not 'call for current availability'</w:t>
      </w:r>
    </w:p>
    <w:p>
      <w:pPr>
        <w:pStyle w:val="ListParagraph"/>
        <w:numPr>
          <w:ilvl w:val="0"/>
          <w:numId w:val="3"/>
        </w:numPr>
        <w:spacing w:after="50" w:before="50"/>
      </w:pPr>
      <w:r>
        <w:rPr>
          <w:rFonts w:ascii="Arial" w:cs="Arial" w:eastAsia="Arial" w:hAnsi="Arial"/>
          <w:sz w:val="21"/>
          <w:szCs w:val="21"/>
        </w:rPr>
        <w:t xml:space="preserve">Submit a referral without creating an account — the form works on a phone</w:t>
      </w:r>
    </w:p>
    <w:p>
      <w:pPr>
        <w:pStyle w:val="ListParagraph"/>
        <w:numPr>
          <w:ilvl w:val="0"/>
          <w:numId w:val="3"/>
        </w:numPr>
        <w:spacing w:after="50" w:before="50"/>
      </w:pPr>
      <w:r>
        <w:rPr>
          <w:rFonts w:ascii="Arial" w:cs="Arial" w:eastAsia="Arial" w:hAnsi="Arial"/>
          <w:sz w:val="21"/>
          <w:szCs w:val="21"/>
        </w:rPr>
        <w:t xml:space="preserve">Probation officer gets confirmation the referral was received before they leave their desk</w:t>
      </w:r>
    </w:p>
    <w:p>
      <w:pPr>
        <w:spacing w:after="0" w:before="160"/>
      </w:pPr>
      <w:r>
        <w:t xml:space="preserve"/>
      </w:r>
    </w:p>
    <w:p>
      <w:pPr>
        <w:jc w:val="center"/>
      </w:pPr>
      <w:r>
        <w:rPr>
          <w:rFonts w:ascii="Arial" w:cs="Arial" w:eastAsia="Arial" w:hAnsi="Arial"/>
          <w:i/>
          <w:iCs/>
          <w:color w:val="999999"/>
          <w:sz w:val="17"/>
          <w:szCs w:val="17"/>
        </w:rPr>
        <w:t xml:space="preserve">VRCC Recovery Residence Provider Hub  ·  Integration Plan &amp; Build Specification  ·  Grace For Addictions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40"/>
      <w:outlineLvl w:val="0"/>
    </w:pPr>
    <w:rPr>
      <w:rFonts w:ascii="Arial" w:cs="Arial" w:eastAsia="Arial" w:hAnsi="Arial"/>
      <w:b/>
      <w:bCs/>
      <w:color w:val="1B2A4A"/>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2026-06-11T05:00:05.153Z</dcterms:created>
  <dcterms:modified xsi:type="dcterms:W3CDTF">2026-06-11T05:00:05.164Z</dcterms:modified>
</cp:coreProperties>
</file>

<file path=docProps/custom.xml><?xml version="1.0" encoding="utf-8"?>
<Properties xmlns="http://schemas.openxmlformats.org/officeDocument/2006/custom-properties" xmlns:vt="http://schemas.openxmlformats.org/officeDocument/2006/docPropsVTypes"/>
</file>