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exit-transition-policy"/>
    <w:p>
      <w:pPr>
        <w:pStyle w:val="Heading1"/>
      </w:pPr>
      <w:r>
        <w:t xml:space="preserve">Exit &amp; Transition Policy</w:t>
      </w:r>
    </w:p>
    <w:p>
      <w:pPr>
        <w:pStyle w:val="FirstParagraph"/>
      </w:pPr>
      <w:r>
        <w:rPr>
          <w:bCs/>
          <w:b/>
          <w:color w:val="8E4585"/>
        </w:rPr>
        <w:t xml:space="preserve">Grace House · Grace For Addictions</w:t>
      </w:r>
      <w:r>
        <w:t xml:space="preserve"> </w:t>
      </w:r>
      <w:r>
        <w:t xml:space="preserve">1311 9th Street, Des Moines, Iowa 50314 · Office: 515-220-8771 · Warmline: 515-310-DIAL (3425) · gracehouse@graceforaddictions.org</w:t>
      </w:r>
    </w:p>
    <w:p>
      <w:pPr>
        <w:pStyle w:val="BodyText"/>
      </w:pPr>
      <w:r>
        <w:rPr>
          <w:iCs/>
          <w:i/>
        </w:rPr>
        <w:t xml:space="preserve">Print-ready and fillable: complete on paper or type directly into this document. Version 2.0.</w:t>
      </w:r>
    </w:p>
    <w:p>
      <w:r>
        <w:pict>
          <v:rect style="width:0;height:1.5pt" o:hralign="center" o:hrstd="t" o:hr="t"/>
        </w:pict>
      </w:r>
    </w:p>
    <w:bookmarkStart w:id="20" w:name="types-of-exit"/>
    <w:p>
      <w:pPr>
        <w:pStyle w:val="Heading2"/>
      </w:pPr>
      <w:r>
        <w:t xml:space="preserve">Types of Exit</w:t>
      </w:r>
    </w:p>
    <w:p>
      <w:pPr>
        <w:numPr>
          <w:ilvl w:val="0"/>
          <w:numId w:val="1001"/>
        </w:numPr>
        <w:pStyle w:val="Compact"/>
      </w:pPr>
      <w:r>
        <w:rPr>
          <w:bCs/>
          <w:b/>
          <w:color w:val="8E4585"/>
        </w:rPr>
        <w:t xml:space="preserve">Completion / graduation</w:t>
      </w:r>
      <w:r>
        <w:t xml:space="preserve"> </w:t>
      </w:r>
      <w:r>
        <w:t xml:space="preserve">— planned transition to independent living, celebrated by the community.</w:t>
      </w:r>
    </w:p>
    <w:p>
      <w:pPr>
        <w:numPr>
          <w:ilvl w:val="0"/>
          <w:numId w:val="1001"/>
        </w:numPr>
        <w:pStyle w:val="Compact"/>
      </w:pPr>
      <w:r>
        <w:rPr>
          <w:bCs/>
          <w:b/>
          <w:color w:val="8E4585"/>
        </w:rPr>
        <w:t xml:space="preserve">Voluntary exit</w:t>
      </w:r>
      <w:r>
        <w:t xml:space="preserve"> </w:t>
      </w:r>
      <w:r>
        <w:t xml:space="preserve">— a resident may leave at any time; we assist with a safe transition plan regardless of circumstances.</w:t>
      </w:r>
    </w:p>
    <w:p>
      <w:pPr>
        <w:numPr>
          <w:ilvl w:val="0"/>
          <w:numId w:val="1001"/>
        </w:numPr>
        <w:pStyle w:val="Compact"/>
      </w:pPr>
      <w:r>
        <w:rPr>
          <w:bCs/>
          <w:b/>
          <w:color w:val="8E4585"/>
        </w:rPr>
        <w:t xml:space="preserve">Administrative removal</w:t>
      </w:r>
      <w:r>
        <w:t xml:space="preserve"> </w:t>
      </w:r>
      <w:r>
        <w:t xml:space="preserve">— participants may be removed immediately upon violation of program rules or upon conduct that endangers another resident’s life or recovery. Removal is documented, reviewable through the grievance process, and carried out with dignity.</w:t>
      </w:r>
    </w:p>
    <w:bookmarkEnd w:id="20"/>
    <w:bookmarkStart w:id="21" w:name="transition-planning-all-exits"/>
    <w:p>
      <w:pPr>
        <w:pStyle w:val="Heading2"/>
      </w:pPr>
      <w:r>
        <w:t xml:space="preserve">Transition Planning (all exits)</w:t>
      </w:r>
    </w:p>
    <w:p>
      <w:pPr>
        <w:numPr>
          <w:ilvl w:val="0"/>
          <w:numId w:val="1002"/>
        </w:numPr>
        <w:pStyle w:val="Compact"/>
      </w:pPr>
      <w:r>
        <w:t xml:space="preserve">Housing destination identified and, where possible, verified.</w:t>
      </w:r>
    </w:p>
    <w:p>
      <w:pPr>
        <w:numPr>
          <w:ilvl w:val="0"/>
          <w:numId w:val="1002"/>
        </w:numPr>
        <w:pStyle w:val="Compact"/>
      </w:pPr>
      <w:r>
        <w:t xml:space="preserve">Medication transfer plan (nothing left behind, prescriptions bridged).</w:t>
      </w:r>
    </w:p>
    <w:p>
      <w:pPr>
        <w:numPr>
          <w:ilvl w:val="0"/>
          <w:numId w:val="1002"/>
        </w:numPr>
        <w:pStyle w:val="Compact"/>
      </w:pPr>
      <w:r>
        <w:t xml:space="preserve">Warm handoff to treatment/coaching supports; ROI-covered notifications.</w:t>
      </w:r>
    </w:p>
    <w:p>
      <w:pPr>
        <w:numPr>
          <w:ilvl w:val="0"/>
          <w:numId w:val="1002"/>
        </w:numPr>
        <w:pStyle w:val="Compact"/>
      </w:pPr>
      <w:r>
        <w:t xml:space="preserve">Personal property inventory and return (30-day storage for property left behind).</w:t>
      </w:r>
    </w:p>
    <w:p>
      <w:pPr>
        <w:numPr>
          <w:ilvl w:val="0"/>
          <w:numId w:val="1002"/>
        </w:numPr>
        <w:pStyle w:val="Compact"/>
      </w:pPr>
      <w:r>
        <w:t xml:space="preserve">Fee account settled or plan documented.</w:t>
      </w:r>
    </w:p>
    <w:p>
      <w:pPr>
        <w:numPr>
          <w:ilvl w:val="0"/>
          <w:numId w:val="1002"/>
        </w:numPr>
        <w:pStyle w:val="Compact"/>
      </w:pPr>
      <w:r>
        <w:t xml:space="preserve">Door-stays-open statement: eligibility for future readmission is preserved except where safety prohibits.</w:t>
      </w:r>
    </w:p>
    <w:bookmarkEnd w:id="21"/>
    <w:bookmarkStart w:id="22" w:name="exit-record"/>
    <w:p>
      <w:pPr>
        <w:pStyle w:val="Heading2"/>
      </w:pPr>
      <w:r>
        <w:t xml:space="preserve">Exit Record</w:t>
      </w:r>
    </w:p>
    <w:p>
      <w:pPr>
        <w:pStyle w:val="FirstParagraph"/>
      </w:pPr>
      <w:r>
        <w:t xml:space="preserve">Resident: ______________________ Exit date: ______ Type: [ ] Completion [ ] Voluntary [ ] Administrative</w:t>
      </w:r>
    </w:p>
    <w:p>
      <w:pPr>
        <w:pStyle w:val="BodyText"/>
      </w:pPr>
      <w:r>
        <w:t xml:space="preserve">Destination: ______________________________ Verified: [ ] Yes [ ] No</w:t>
      </w:r>
    </w:p>
    <w:p>
      <w:pPr>
        <w:pStyle w:val="BodyText"/>
      </w:pPr>
      <w:r>
        <w:t xml:space="preserve">Medications transferred: [ ] Yes [ ] N/A Property returned: [ ] Yes [ ] Stored (date: ______)</w:t>
      </w:r>
    </w:p>
    <w:p>
      <w:pPr>
        <w:pStyle w:val="BodyText"/>
      </w:pPr>
      <w:r>
        <w:t xml:space="preserve">Supports notified (with ROI): ______________________________</w:t>
      </w:r>
    </w:p>
    <w:p>
      <w:pPr>
        <w:pStyle w:val="BodyText"/>
      </w:pPr>
      <w:r>
        <w:t xml:space="preserve">Follow-up contact scheduled (30 days): ______ Staff: __________ ED review: __________</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5B2C6F"/>
      <w:sz w:val="36"/>
      <w:szCs w:val="36"/>
    </w:rPr>
  </w:style>
  <w:style w:styleId="Subtitle" w:type="paragraph">
    <w:name w:val="Subtitle"/>
    <w:basedOn w:val="Title"/>
    <w:next w:val="BodyText"/>
    <w:qFormat/>
    <w:pPr>
      <w:keepNext/>
      <w:keepLines/>
      <w:spacing w:after="240" w:before="240"/>
      <w:jc w:val="center"/>
    </w:pPr>
    <w:rPr>
      <w:sz w:val="30"/>
      <w:szCs w:val="30"/>
      <w:color w:val="5B2C6F"/>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5B2C6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5B2C6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5B2C6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5B2C6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5B2C6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5B2C6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2026-07-30T08:37:33Z</dcterms:created>
  <dcterms:modified xsi:type="dcterms:W3CDTF">2026-07-30T08:37:33Z</dcterms:modified>
</cp:coreProperties>
</file>

<file path=docProps/custom.xml><?xml version="1.0" encoding="utf-8"?>
<Properties xmlns="http://schemas.openxmlformats.org/officeDocument/2006/custom-properties" xmlns:vt="http://schemas.openxmlformats.org/officeDocument/2006/docPropsVTypes"/>
</file>