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80"/>
        <w:jc w:val="center"/>
      </w:pPr>
      <w:r>
        <w:rPr>
          <w:b/>
          <w:bCs/>
          <w:sz w:val="30"/>
          <w:szCs w:val="30"/>
        </w:rPr>
        <w:t xml:space="preserve">ERNEST &amp; JOHNNIE WHITE RECOVERY HOUSE, L.L.C.</w:t>
      </w:r>
    </w:p>
    <w:p>
      <w:pPr>
        <w:pStyle w:val="Heading1"/>
        <w:spacing w:after="80"/>
        <w:jc w:val="center"/>
      </w:pPr>
      <w:r>
        <w:rPr>
          <w:b/>
          <w:bCs/>
          <w:sz w:val="30"/>
          <w:szCs w:val="30"/>
        </w:rPr>
        <w:t xml:space="preserve">PROFESSIONAL SERVICES AGREEMENT</w:t>
      </w:r>
    </w:p>
    <w:p>
      <w:pPr>
        <w:spacing w:after="160"/>
      </w:pPr>
      <w:r>
        <w:t xml:space="preserve">Recovery Program Development, Support Services &amp; Technical Assistance · </w:t>
      </w:r>
      <w:r>
        <w:rPr>
          <w:b/>
          <w:bCs/>
        </w:rPr>
        <w:t xml:space="preserve">Version 4.1 — FINAL FOR EXECUTION</w:t>
      </w:r>
      <w:r>
        <w:t xml:space="preserve"> · 2026 · Supersedes Version 4.0 in its entirety</w:t>
      </w:r>
    </w:p>
    <w:p>
      <w:pPr>
        <w:pStyle w:val="Heading2"/>
        <w:spacing w:after="120" w:before="240"/>
      </w:pPr>
      <w:r>
        <w:rPr>
          <w:b/>
          <w:bCs/>
          <w:sz w:val="26"/>
          <w:szCs w:val="26"/>
        </w:rPr>
        <w:t xml:space="preserve">This Agreement in Context</w:t>
      </w:r>
    </w:p>
    <w:p>
      <w:pPr>
        <w:spacing w:after="160"/>
      </w:pPr>
      <w:r>
        <w:t xml:space="preserve">This Professional Services Agreement is part of the Ernest &amp; Johnnie White Recovery House operational structure, which the parties intend to comprise: </w:t>
      </w:r>
      <w:r>
        <w:rPr>
          <w:b/>
          <w:bCs/>
        </w:rPr>
        <w:t xml:space="preserve">(1)</w:t>
      </w:r>
      <w:r>
        <w:t xml:space="preserve"> a property lease between W &amp; W Properties (Landlord) and Ernest &amp; Johnnie White Recovery House, L.L.C. (Tenant) for 1414 12th Street, Des Moines, Iowa; </w:t>
      </w:r>
      <w:r>
        <w:rPr>
          <w:b/>
          <w:bCs/>
        </w:rPr>
        <w:t xml:space="preserve">(2)</w:t>
      </w:r>
      <w:r>
        <w:t xml:space="preserve"> this Agreement; and </w:t>
      </w:r>
      <w:r>
        <w:rPr>
          <w:b/>
          <w:bCs/>
        </w:rPr>
        <w:t xml:space="preserve">(3)</w:t>
      </w:r>
      <w:r>
        <w:t xml:space="preserve"> an Entity Structure &amp; NARR Compliance Disclosure prepared for the NARR certification application. The related instruments are referenced for context only; the execution status of each is confirmed separately, and this Agreement takes effect according to its own terms upon execution by both parties.</w:t>
      </w:r>
    </w:p>
    <w:p>
      <w:pPr>
        <w:pStyle w:val="Heading2"/>
        <w:spacing w:after="120" w:before="240"/>
      </w:pPr>
      <w:r>
        <w:rPr>
          <w:b/>
          <w:bCs/>
          <w:sz w:val="26"/>
          <w:szCs w:val="26"/>
        </w:rPr>
        <w:t xml:space="preserve">Parties</w:t>
      </w:r>
    </w:p>
    <w:p>
      <w:pPr>
        <w:spacing w:after="160"/>
      </w:pPr>
      <w:r>
        <w:rPr>
          <w:b/>
          <w:bCs/>
        </w:rPr>
        <w:t xml:space="preserve">OPERATOR / CLIENT</w:t>
      </w:r>
      <w:r>
        <w:t xml:space="preserve"> Ernest &amp; Johnnie White Recovery House, L.L.C. (Iowa Business No. 872192) 1414 12th Street, Des Moines, Iowa 50314 · Sole Member: Curtis White Property leased from W &amp; W Properties · 515-208-1151 · ejwrh@rcoiowa.org Hereinafter: </w:t>
      </w:r>
      <w:r>
        <w:rPr>
          <w:b/>
          <w:bCs/>
        </w:rPr>
        <w:t xml:space="preserve">"Operator"</w:t>
      </w:r>
    </w:p>
    <w:p>
      <w:pPr>
        <w:spacing w:after="160"/>
      </w:pPr>
      <w:r>
        <w:rPr>
          <w:b/>
          <w:bCs/>
        </w:rPr>
        <w:t xml:space="preserve">CONTRACTED RECOVERY PROGRAM &amp; TECHNICAL SERVICES PROVIDER</w:t>
      </w:r>
      <w:r>
        <w:t xml:space="preserve"> Grace For Addictions, a 501(c)(3) Recovery Community Organization President: Dave Stout · GFA Office: 515-220-8771 Residents Warmline: 515-310-DIAL (3425) / Toll Free +1 (877) 295-2535 Hereinafter: </w:t>
      </w:r>
      <w:r>
        <w:rPr>
          <w:b/>
          <w:bCs/>
        </w:rPr>
        <w:t xml:space="preserve">"Service Provider"</w:t>
      </w:r>
      <w:r>
        <w:t xml:space="preserve"> or </w:t>
      </w:r>
      <w:r>
        <w:rPr>
          <w:b/>
          <w:bCs/>
        </w:rPr>
        <w:t xml:space="preserve">"GFA"</w:t>
      </w:r>
    </w:p>
    <w:p>
      <w:pPr>
        <w:pStyle w:val="Heading2"/>
        <w:spacing w:after="120" w:before="240"/>
      </w:pPr>
      <w:r>
        <w:rPr>
          <w:b/>
          <w:bCs/>
          <w:sz w:val="26"/>
          <w:szCs w:val="26"/>
        </w:rPr>
        <w:t xml:space="preserve">Structural Framework</w:t>
      </w:r>
    </w:p>
    <w:p>
      <w:pPr>
        <w:spacing w:after="160"/>
      </w:pPr>
      <w:r>
        <w:t xml:space="preserve">Grace For Addictions serves as the </w:t>
      </w:r>
      <w:r>
        <w:rPr>
          <w:b/>
          <w:bCs/>
        </w:rPr>
        <w:t xml:space="preserve">contracted recovery program and technical services provider</w:t>
      </w:r>
      <w:r>
        <w:t xml:space="preserve"> to the Operator. GFA is not a co-owner, co-operator, landlord, property operator, partner, or joint venturer of the Operator or of W &amp; W Properties, and GFA is not the "operator" of the recovery residence. The Operator retains sole responsibility and ultimate authority for housing operations, resident agreements, resident program fees, financial management, property obligations, and housing-related legal responsibilities. This separation supports NARR certification, Fair Housing compliance, nonprofit integrity, and clean liability separation between the entities; the characterization of resident occupancy under Iowa landlord-tenant law (Iowa Code ch. 562A) is addressed in Article 11.</w:t>
      </w:r>
    </w:p>
    <w:p>
      <w:pPr>
        <w:spacing w:after="160"/>
      </w:pPr>
      <w:r>
        <w:t xml:space="preserve">*Role continuity:* GFA's Executive Director manages day-to-day contracted program services and works directly with the House Manager. Functional roles in this Agreement are defined by function, not by the individual holding them; a change in the person holding a role does not affect this Agreement.</w:t>
      </w:r>
    </w:p>
    <w:p>
      <w:pPr>
        <w:pStyle w:val="Heading2"/>
        <w:spacing w:after="120" w:before="240"/>
      </w:pPr>
      <w:r>
        <w:rPr>
          <w:b/>
          <w:bCs/>
          <w:sz w:val="26"/>
          <w:szCs w:val="26"/>
        </w:rPr>
        <w:t xml:space="preserve">Article 1 — Relationship of the Parties</w:t>
      </w:r>
    </w:p>
    <w:p>
      <w:pPr>
        <w:spacing w:after="160"/>
      </w:pPr>
      <w:r>
        <w:rPr>
          <w:b/>
          <w:bCs/>
        </w:rPr>
        <w:t xml:space="preserve">1.1 Independent Contractor.</w:t>
      </w:r>
      <w:r>
        <w:t xml:space="preserve"> Service Provider is an independent contractor. Service Provider is not an employee, partner, joint venturer, co-owner, or co-operator of Operator or of W &amp; W Properties, and nothing in this Agreement creates any agency except as expressly stated. </w:t>
      </w:r>
      <w:r>
        <w:rPr>
          <w:b/>
          <w:bCs/>
        </w:rPr>
        <w:t xml:space="preserve">Neither party may bind the other to any obligation unless separately authorized in writing.</w:t>
      </w:r>
    </w:p>
    <w:p>
      <w:pPr>
        <w:spacing w:after="160"/>
      </w:pPr>
      <w:r>
        <w:rPr>
          <w:b/>
          <w:bCs/>
        </w:rPr>
        <w:t xml:space="preserve">1.2 Operator Role.</w:t>
      </w:r>
      <w:r>
        <w:t xml:space="preserve"> Operator is the recovery house operator, leasing the Premises from W &amp; W Properties. Curtis White is the founding sponsor whose vision and property provision make this program possible. Operator retains sole authority and responsibility for: housing operations; resident agreements; resident program fees (establishment, reduction, waiver, collection, and accounts); financial management; property lease obligations, maintenance, and compliance; Operator-employed staffing (including the House Manager); housing-related legal responsibilities; and ultimate housing and residency decision authority as set out in Article 6.</w:t>
      </w:r>
    </w:p>
    <w:p>
      <w:pPr>
        <w:spacing w:after="160"/>
      </w:pPr>
      <w:r>
        <w:rPr>
          <w:b/>
          <w:bCs/>
        </w:rPr>
        <w:t xml:space="preserve">1.3 Service Provider Role.</w:t>
      </w:r>
      <w:r>
        <w:t xml:space="preserve"> GFA provides the contracted services in Article 2: recovery-support services, recovery coaching, navigation, peer-support coordination, program-development services, RecoveryOS/VRCC infrastructure, policy and document development support, training and technical assistance, NARR-readiness and certification support, program-quality support, referral and network development, recovery/reentry support, and reporting/documentation support within its authorized scope. GFA's name may appear on program materials it authors in its service-provider capacity. GFA does </w:t>
      </w:r>
      <w:r>
        <w:rPr>
          <w:b/>
          <w:bCs/>
        </w:rPr>
        <w:t xml:space="preserve">not</w:t>
      </w:r>
      <w:r>
        <w:t xml:space="preserve"> own resident fees, manage Operator financial accounts, hold housing authority, or operate the property.</w:t>
      </w:r>
    </w:p>
    <w:p>
      <w:pPr>
        <w:spacing w:after="160"/>
      </w:pPr>
      <w:r>
        <w:rPr>
          <w:b/>
          <w:bCs/>
        </w:rPr>
        <w:t xml:space="preserve">1.4 No Personal Guarantee.</w:t>
      </w:r>
      <w:r>
        <w:t xml:space="preserve"> Each signatory signs solely in the representative capacity stated in Article 14. Neither party, and no individual signatory, is personally financially liable for the other party's obligations.</w:t>
      </w:r>
    </w:p>
    <w:p>
      <w:pPr>
        <w:spacing w:after="160"/>
      </w:pPr>
      <w:r>
        <w:rPr>
          <w:b/>
          <w:bCs/>
        </w:rPr>
        <w:t xml:space="preserve">1.5 Nonprofit Integrity.</w:t>
      </w:r>
      <w:r>
        <w:t xml:space="preserve"> All services are consistent with Grace For Addictions' 501(c)(3) charitable mission, are provided at fair market value for the defined services, and constitute an arms-length professional services arrangement.</w:t>
      </w:r>
    </w:p>
    <w:p>
      <w:pPr>
        <w:pStyle w:val="Heading2"/>
        <w:spacing w:after="120" w:before="240"/>
      </w:pPr>
      <w:r>
        <w:rPr>
          <w:b/>
          <w:bCs/>
          <w:sz w:val="26"/>
          <w:szCs w:val="26"/>
        </w:rPr>
        <w:t xml:space="preserve">Article 2 — Scope of Services</w:t>
      </w:r>
    </w:p>
    <w:p>
      <w:pPr>
        <w:spacing w:after="160"/>
      </w:pPr>
      <w:r>
        <w:rPr>
          <w:b/>
          <w:bCs/>
        </w:rPr>
        <w:t xml:space="preserve">PHASE 1 · PROGRAM BUILD-OUT &amp; LAUNCH · Milestone Deliverables</w:t>
      </w:r>
    </w:p>
    <w:p>
      <w:pPr>
        <w:pStyle w:val="ListParagraph"/>
        <w:numPr>
          <w:ilvl w:val="0"/>
          <w:numId w:val="2"/>
        </w:numPr>
        <w:spacing w:after="80"/>
      </w:pPr>
      <w:r>
        <w:rPr>
          <w:b/>
          <w:bCs/>
        </w:rPr>
        <w:t xml:space="preserve">2.1.A Complete Operational System</w:t>
      </w:r>
      <w:r>
        <w:t xml:space="preserve"> — Men's Resident Handbook (trauma-informed, reentry-aware, NARR-aligned); Staff Operations Manual (intake, drug testing, incident response, documentation); participant forms and workflows (intake, Individual Recovery Plan, screening log, grievance); house rules, three-phase structure, curfew framework, return-to-use response.</w:t>
      </w:r>
    </w:p>
    <w:p>
      <w:pPr>
        <w:pStyle w:val="ListParagraph"/>
        <w:numPr>
          <w:ilvl w:val="0"/>
          <w:numId w:val="2"/>
        </w:numPr>
        <w:spacing w:after="80"/>
      </w:pPr>
      <w:r>
        <w:rPr>
          <w:b/>
          <w:bCs/>
        </w:rPr>
        <w:t xml:space="preserve">2.1.B Resident Agreement &amp; Safety-Response Documentation</w:t>
      </w:r>
      <w:r>
        <w:t xml:space="preserve"> — Participant &amp; Residency Agreement (program participation, not a lease) and emergency safety-response documentation, each prepared for Operator approval and, where legal characterization is implicated, qualified legal review (Article 11).</w:t>
      </w:r>
    </w:p>
    <w:p>
      <w:pPr>
        <w:pStyle w:val="ListParagraph"/>
        <w:numPr>
          <w:ilvl w:val="0"/>
          <w:numId w:val="2"/>
        </w:numPr>
        <w:spacing w:after="80"/>
      </w:pPr>
      <w:r>
        <w:rPr>
          <w:b/>
          <w:bCs/>
        </w:rPr>
        <w:t xml:space="preserve">2.1.C NARR Level II Readiness</w:t>
      </w:r>
      <w:r>
        <w:t xml:space="preserve"> — full NARR Standard 3.0 compliance crosswalk and self-assessment; site readiness checklist; certification application support.</w:t>
      </w:r>
    </w:p>
    <w:p>
      <w:pPr>
        <w:pStyle w:val="ListParagraph"/>
        <w:numPr>
          <w:ilvl w:val="0"/>
          <w:numId w:val="2"/>
        </w:numPr>
        <w:spacing w:after="80"/>
      </w:pPr>
      <w:r>
        <w:rPr>
          <w:b/>
          <w:bCs/>
        </w:rPr>
        <w:t xml:space="preserve">2.1.D RecoveryOS / VRCC Digital Platform</w:t>
      </w:r>
      <w:r>
        <w:t xml:space="preserve"> — configuration per Article 7.</w:t>
      </w:r>
    </w:p>
    <w:p>
      <w:pPr>
        <w:pStyle w:val="ListParagraph"/>
        <w:numPr>
          <w:ilvl w:val="0"/>
          <w:numId w:val="2"/>
        </w:numPr>
        <w:spacing w:after="80"/>
      </w:pPr>
      <w:r>
        <w:rPr>
          <w:b/>
          <w:bCs/>
        </w:rPr>
        <w:t xml:space="preserve">2.1.E Staff Training</w:t>
      </w:r>
      <w:r>
        <w:t xml:space="preserve"> — House Manager and peer mentor orientation; naloxone/Narcan training; screening protocol and documentation standards.</w:t>
      </w:r>
    </w:p>
    <w:p>
      <w:pPr>
        <w:spacing w:after="160"/>
      </w:pPr>
      <w:r>
        <w:rPr>
          <w:b/>
          <w:bCs/>
        </w:rPr>
        <w:t xml:space="preserve">PHASE 2 · ONGOING PROGRAM SUPPORT SERVICES · Monthly Retainer</w:t>
      </w:r>
    </w:p>
    <w:p>
      <w:pPr>
        <w:pStyle w:val="ListParagraph"/>
        <w:numPr>
          <w:ilvl w:val="0"/>
          <w:numId w:val="2"/>
        </w:numPr>
        <w:spacing w:after="80"/>
      </w:pPr>
      <w:r>
        <w:rPr>
          <w:b/>
          <w:bCs/>
        </w:rPr>
        <w:t xml:space="preserve">2.2.A Program Support &amp; Compliance</w:t>
      </w:r>
      <w:r>
        <w:t xml:space="preserve"> — NARR Level II compliance monitoring and annual renewal support; Iowa HHS reporting compliance guidance; program-quality support.</w:t>
      </w:r>
    </w:p>
    <w:p>
      <w:pPr>
        <w:pStyle w:val="ListParagraph"/>
        <w:numPr>
          <w:ilvl w:val="0"/>
          <w:numId w:val="2"/>
        </w:numPr>
        <w:spacing w:after="80"/>
      </w:pPr>
      <w:r>
        <w:rPr>
          <w:b/>
          <w:bCs/>
        </w:rPr>
        <w:t xml:space="preserve">2.2.B Recovery &amp; Reentry Support</w:t>
      </w:r>
      <w:r>
        <w:t xml:space="preserve"> — recovery coaching via credentialed peer coaches; Individual Recovery Plan development and coordination; reentry-informed coordination (employment, benefits, legal navigation); crisis response and 24/7 on-call program coverage.</w:t>
      </w:r>
    </w:p>
    <w:p>
      <w:pPr>
        <w:pStyle w:val="ListParagraph"/>
        <w:numPr>
          <w:ilvl w:val="0"/>
          <w:numId w:val="2"/>
        </w:numPr>
        <w:spacing w:after="80"/>
      </w:pPr>
      <w:r>
        <w:rPr>
          <w:b/>
          <w:bCs/>
        </w:rPr>
        <w:t xml:space="preserve">2.2.C Wrap-Around Services</w:t>
      </w:r>
      <w:r>
        <w:t xml:space="preserve"> — transportation coordination (recovery meetings, medical appointments, employment); alumni support and GFA recovery community network connection.</w:t>
      </w:r>
    </w:p>
    <w:p>
      <w:pPr>
        <w:pStyle w:val="ListParagraph"/>
        <w:numPr>
          <w:ilvl w:val="0"/>
          <w:numId w:val="2"/>
        </w:numPr>
        <w:spacing w:after="80"/>
      </w:pPr>
      <w:r>
        <w:rPr>
          <w:b/>
          <w:bCs/>
        </w:rPr>
        <w:t xml:space="preserve">2.2.D Referral &amp; Network Development</w:t>
      </w:r>
      <w:r>
        <w:t xml:space="preserve"> — program materials and referral distribution content; development of referral relationships (courts, probation, reentry programs, treatment providers); RecoveryOS intake portal management and intake screening support. </w:t>
      </w:r>
      <w:r>
        <w:rPr>
          <w:b/>
          <w:bCs/>
        </w:rPr>
        <w:t xml:space="preserve">Formal referral agreements that bear on housing or residency are executed by the Operator</w:t>
      </w:r>
      <w:r>
        <w:t xml:space="preserve">; GFA may execute agreements limited to its own contracted services.</w:t>
      </w:r>
    </w:p>
    <w:p>
      <w:pPr>
        <w:pStyle w:val="Heading2"/>
        <w:spacing w:after="120" w:before="240"/>
      </w:pPr>
      <w:r>
        <w:rPr>
          <w:b/>
          <w:bCs/>
          <w:sz w:val="26"/>
          <w:szCs w:val="26"/>
        </w:rPr>
        <w:t xml:space="preserve">Article 3 — Operator's Responsibilities</w:t>
      </w:r>
    </w:p>
    <w:p>
      <w:pPr>
        <w:spacing w:after="160"/>
      </w:pPr>
      <w:r>
        <w:t xml:space="preserve">Operator shall: maintain the Premises per the W &amp; W Properties lease; furnish all ten resident beds; establish, disclose, and collect resident program fees per Article 4 and maintain the related financial records; pay all property-related expenses (rent, water, electric, gas/heat, trash, internet, property insurance); carry premises liability insurance naming Service Provider as additional insured; pay Service Provider invoices within ten (10) business days of receipt; cooperate in good faith with the contracted services and not obstruct Service Provider's performance of them, </w:t>
      </w:r>
      <w:r>
        <w:rPr>
          <w:b/>
          <w:bCs/>
        </w:rPr>
        <w:t xml:space="preserve">while retaining the housing and residency decision authority described in Article 6</w:t>
      </w:r>
      <w:r>
        <w:t xml:space="preserve">; and introduce reentry referral relationships to Service Provider for development under Article 2.2.D.</w:t>
      </w:r>
    </w:p>
    <w:p>
      <w:pPr>
        <w:pStyle w:val="Heading2"/>
        <w:spacing w:after="120" w:before="240"/>
      </w:pPr>
      <w:r>
        <w:rPr>
          <w:b/>
          <w:bCs/>
          <w:sz w:val="26"/>
          <w:szCs w:val="26"/>
        </w:rPr>
        <w:t xml:space="preserve">Article 4 — Resident Program Fees (Operator Authority)</w:t>
      </w:r>
    </w:p>
    <w:p>
      <w:pPr>
        <w:spacing w:after="160"/>
      </w:pPr>
      <w:r>
        <w:rPr>
          <w:b/>
          <w:bCs/>
        </w:rPr>
        <w:t xml:space="preserve">4.1 Standard Resident Program Fees.</w:t>
      </w:r>
      <w:r>
        <w:t xml:space="preserve"> The standard resident program fees established by the Operator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Mar>
              <w:top w:type="dxa" w:w="80"/>
              <w:left w:type="dxa" w:w="120"/>
              <w:bottom w:type="dxa" w:w="80"/>
              <w:right w:type="dxa" w:w="120"/>
            </w:tcMar>
          </w:tcPr>
          <w:p>
            <w:r>
              <w:rPr>
                <w:b/>
                <w:bCs/>
              </w:rPr>
              <w:t xml:space="preserve">Fee</w:t>
            </w:r>
          </w:p>
        </w:tc>
        <w:tc>
          <w:tcPr>
            <w:tcW w:type="dxa" w:w="4680"/>
            <w:tcMar>
              <w:top w:type="dxa" w:w="80"/>
              <w:left w:type="dxa" w:w="120"/>
              <w:bottom w:type="dxa" w:w="80"/>
              <w:right w:type="dxa" w:w="120"/>
            </w:tcMar>
          </w:tcPr>
          <w:p>
            <w:r>
              <w:rPr>
                <w:b/>
                <w:bCs/>
              </w:rPr>
              <w:t xml:space="preserve">Amount</w:t>
            </w:r>
          </w:p>
        </w:tc>
      </w:tr>
      <w:tr>
        <w:tc>
          <w:tcPr>
            <w:tcW w:type="dxa" w:w="4680"/>
            <w:tcMar>
              <w:top w:type="dxa" w:w="80"/>
              <w:left w:type="dxa" w:w="120"/>
              <w:bottom w:type="dxa" w:w="80"/>
              <w:right w:type="dxa" w:w="120"/>
            </w:tcMar>
          </w:tcPr>
          <w:p>
            <w:r>
              <w:t xml:space="preserve">Shared room</w:t>
            </w:r>
          </w:p>
        </w:tc>
        <w:tc>
          <w:tcPr>
            <w:tcW w:type="dxa" w:w="4680"/>
            <w:tcMar>
              <w:top w:type="dxa" w:w="80"/>
              <w:left w:type="dxa" w:w="120"/>
              <w:bottom w:type="dxa" w:w="80"/>
              <w:right w:type="dxa" w:w="120"/>
            </w:tcMar>
          </w:tcPr>
          <w:p>
            <w:r>
              <w:t xml:space="preserve">$175 per week, or $650 per month when paid in advance</w:t>
            </w:r>
          </w:p>
        </w:tc>
      </w:tr>
      <w:tr>
        <w:tc>
          <w:tcPr>
            <w:tcW w:type="dxa" w:w="4680"/>
            <w:tcMar>
              <w:top w:type="dxa" w:w="80"/>
              <w:left w:type="dxa" w:w="120"/>
              <w:bottom w:type="dxa" w:w="80"/>
              <w:right w:type="dxa" w:w="120"/>
            </w:tcMar>
          </w:tcPr>
          <w:p>
            <w:r>
              <w:t xml:space="preserve">Single private room</w:t>
            </w:r>
          </w:p>
        </w:tc>
        <w:tc>
          <w:tcPr>
            <w:tcW w:type="dxa" w:w="4680"/>
            <w:tcMar>
              <w:top w:type="dxa" w:w="80"/>
              <w:left w:type="dxa" w:w="120"/>
              <w:bottom w:type="dxa" w:w="80"/>
              <w:right w:type="dxa" w:w="120"/>
            </w:tcMar>
          </w:tcPr>
          <w:p>
            <w:r>
              <w:t xml:space="preserve">$200 per week, or $750 per month when paid in advance</w:t>
            </w:r>
          </w:p>
        </w:tc>
      </w:tr>
      <w:tr>
        <w:tc>
          <w:tcPr>
            <w:tcW w:type="dxa" w:w="4680"/>
            <w:tcMar>
              <w:top w:type="dxa" w:w="80"/>
              <w:left w:type="dxa" w:w="120"/>
              <w:bottom w:type="dxa" w:w="80"/>
              <w:right w:type="dxa" w:w="120"/>
            </w:tcMar>
          </w:tcPr>
          <w:p>
            <w:r>
              <w:t xml:space="preserve">One-time move-in fee</w:t>
            </w:r>
          </w:p>
        </w:tc>
        <w:tc>
          <w:tcPr>
            <w:tcW w:type="dxa" w:w="4680"/>
            <w:tcMar>
              <w:top w:type="dxa" w:w="80"/>
              <w:left w:type="dxa" w:w="120"/>
              <w:bottom w:type="dxa" w:w="80"/>
              <w:right w:type="dxa" w:w="120"/>
            </w:tcMar>
          </w:tcPr>
          <w:p>
            <w:r>
              <w:t xml:space="preserve">$250 (nonrefundable)</w:t>
            </w:r>
          </w:p>
        </w:tc>
      </w:tr>
      <w:tr>
        <w:tc>
          <w:tcPr>
            <w:tcW w:type="dxa" w:w="4680"/>
            <w:tcMar>
              <w:top w:type="dxa" w:w="80"/>
              <w:left w:type="dxa" w:w="120"/>
              <w:bottom w:type="dxa" w:w="80"/>
              <w:right w:type="dxa" w:w="120"/>
            </w:tcMar>
          </w:tcPr>
          <w:p>
            <w:r>
              <w:t xml:space="preserve">Live-Out participation (when applicable)</w:t>
            </w:r>
          </w:p>
        </w:tc>
        <w:tc>
          <w:tcPr>
            <w:tcW w:type="dxa" w:w="4680"/>
            <w:tcMar>
              <w:top w:type="dxa" w:w="80"/>
              <w:left w:type="dxa" w:w="120"/>
              <w:bottom w:type="dxa" w:w="80"/>
              <w:right w:type="dxa" w:w="120"/>
            </w:tcMar>
          </w:tcPr>
          <w:p>
            <w:r>
              <w:t xml:space="preserve">$25 per week</w:t>
            </w:r>
          </w:p>
        </w:tc>
      </w:tr>
    </w:tbl>
    <w:p>
      <w:pPr>
        <w:spacing w:after="60"/>
      </w:pPr>
    </w:p>
    <w:p>
      <w:pPr>
        <w:spacing w:after="160"/>
      </w:pPr>
      <w:r>
        <w:t xml:space="preserve">These amounts constitute EJWRH's standard published rates and shall be used for general program administration, resident disclosures, budgeting, and prospective admissions unless the Operator approves a different amount as permitted below.</w:t>
      </w:r>
    </w:p>
    <w:p>
      <w:pPr>
        <w:spacing w:after="160"/>
      </w:pPr>
      <w:r>
        <w:rPr>
          <w:b/>
          <w:bCs/>
        </w:rPr>
        <w:t xml:space="preserve">4.2 Operator Authority to Reduce Fees.</w:t>
      </w:r>
      <w:r>
        <w:t xml:space="preserve"> Ernest &amp; Johnnie White Recovery House, L.L.C., as Operator, retains sole authority over resident program fees and may approve a reduced rate, waiver, credit, scholarship, payment accommodation, hardship arrangement, sponsorship arrangement, or other individualized fee agreement when the Operator determines that doing so is appropriate. Individualized reductions may include: (1) honoring a prior written or otherwise verifiable agreement with an existing resident; (2) financial hardship; (3) reentry or transitional circumstances; (4) employment or benefits timing; (5) scholarship or charitable support; (6) third-party funding; or (7) another circumstance approved by the Operator. Any reduced arrangement shall identify only the minimum necessary: the approved amount, effective date, duration or review date, and approving authority — no unnecessary financial histories or narratives. An individualized reduction does not change the standard published rate, does not create an entitlement or precedent for any other resident, and must be administered consistently and without unlawful discrimination. An individualized agreement may reduce or accommodate the standard fee but may not increase a resident above the applicable published rate without a separate written resident agreement.</w:t>
      </w:r>
    </w:p>
    <w:p>
      <w:pPr>
        <w:spacing w:after="160"/>
      </w:pPr>
      <w:r>
        <w:rPr>
          <w:b/>
          <w:bCs/>
        </w:rPr>
        <w:t xml:space="preserve">4.3 Existing Prior Agreements.</w:t>
      </w:r>
      <w:r>
        <w:t xml:space="preserve"> A valid individualized fee arrangement existing before this Agreement's execution may continue according to its terms unless the Operator and the resident mutually agree to modify it.</w:t>
      </w:r>
    </w:p>
    <w:p>
      <w:pPr>
        <w:spacing w:after="160"/>
      </w:pPr>
      <w:r>
        <w:rPr>
          <w:b/>
          <w:bCs/>
        </w:rPr>
        <w:t xml:space="preserve">4.4 Payment, Hardship, and Late Charges.</w:t>
      </w:r>
      <w:r>
        <w:t xml:space="preserve"> Consistent with the resident-facing policy: weekly payments may be made at any point during the week, and a payment still outstanding may be addressed at the Sunday house meeting; monthly payments are due on or before the 1st of the month; no daily late charge applies during a resident's first thirty (30) days of residency; thereafter a delinquent payment may incur </w:t>
      </w:r>
      <w:r>
        <w:rPr>
          <w:b/>
          <w:bCs/>
        </w:rPr>
        <w:t xml:space="preserve">$5 per day, up to a maximum of $50 per delinquent payment period</w:t>
      </w:r>
      <w:r>
        <w:t xml:space="preserve">; the daily charge is suspended while the resident is compliant with an approved hardship/payment arrangement and may be waived based on advance communication or documented circumstances; and </w:t>
      </w:r>
      <w:r>
        <w:rPr>
          <w:b/>
          <w:bCs/>
        </w:rPr>
        <w:t xml:space="preserve">late payment alone never automatically terminates residency</w:t>
      </w:r>
      <w:r>
        <w:t xml:space="preserve"> — persistent nonpayment is addressed through the documented human decision process in Article 6.</w:t>
      </w:r>
    </w:p>
    <w:p>
      <w:pPr>
        <w:spacing w:after="160"/>
      </w:pPr>
      <w:r>
        <w:rPr>
          <w:b/>
          <w:bCs/>
        </w:rPr>
        <w:t xml:space="preserve">4.5 Fee Ownership and GFA's Financial Role.</w:t>
      </w:r>
      <w:r>
        <w:t xml:space="preserve"> All resident program fees are established by, collected by, and belong solely to Operator. Service Provider has no ownership of, percentage interest in, or claim to resident program fees; does not handle, hold, or manage Operator's fee accounts; and does not assume Operator's vacancy or nonpayment risk. GFA may provide budgeting support, financial-planning assistance, benefits/resource navigation, and help developing a resident payment arrangement — but Operator retains sole authority to establish, reduce, waive, approve, and collect resident fees and to manage housing financial risk.</w:t>
      </w:r>
    </w:p>
    <w:p>
      <w:pPr>
        <w:pStyle w:val="Heading2"/>
        <w:spacing w:after="120" w:before="240"/>
      </w:pPr>
      <w:r>
        <w:rPr>
          <w:b/>
          <w:bCs/>
          <w:sz w:val="26"/>
          <w:szCs w:val="26"/>
        </w:rPr>
        <w:t xml:space="preserve">Article 5 — Service Provider Compensation</w:t>
      </w:r>
    </w:p>
    <w:p>
      <w:pPr>
        <w:spacing w:after="160"/>
      </w:pPr>
      <w:r>
        <w:t xml:space="preserve">Compensation under this Article is professional-service compensation paid by Operator to Service Provider for the defined services in Article 2. It is separate from, and creates no interest in, resident program fees (Article 4.5).</w:t>
      </w:r>
    </w:p>
    <w:p>
      <w:pPr>
        <w:spacing w:after="160"/>
      </w:pPr>
      <w:r>
        <w:rPr>
          <w:b/>
          <w:bCs/>
        </w:rPr>
        <w:t xml:space="preserve">5.1 Phase 1 Milestone Fees</w:t>
      </w:r>
      <w:r>
        <w:t xml:space="preserve"> (one-time, earned on delivery; non-refundable once the corresponding deliverable is substantially completed):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Mar>
              <w:top w:type="dxa" w:w="80"/>
              <w:left w:type="dxa" w:w="120"/>
              <w:bottom w:type="dxa" w:w="80"/>
              <w:right w:type="dxa" w:w="120"/>
            </w:tcMar>
          </w:tcPr>
          <w:p>
            <w:r>
              <w:rPr>
                <w:b/>
                <w:bCs/>
              </w:rPr>
              <w:t xml:space="preserve">Deliverable</w:t>
            </w:r>
          </w:p>
        </w:tc>
        <w:tc>
          <w:tcPr>
            <w:tcW w:type="dxa" w:w="3120"/>
            <w:tcMar>
              <w:top w:type="dxa" w:w="80"/>
              <w:left w:type="dxa" w:w="120"/>
              <w:bottom w:type="dxa" w:w="80"/>
              <w:right w:type="dxa" w:w="120"/>
            </w:tcMar>
          </w:tcPr>
          <w:p>
            <w:r>
              <w:rPr>
                <w:b/>
                <w:bCs/>
              </w:rPr>
              <w:t xml:space="preserve">Fee</w:t>
            </w:r>
          </w:p>
        </w:tc>
        <w:tc>
          <w:tcPr>
            <w:tcW w:type="dxa" w:w="3120"/>
            <w:tcMar>
              <w:top w:type="dxa" w:w="80"/>
              <w:left w:type="dxa" w:w="120"/>
              <w:bottom w:type="dxa" w:w="80"/>
              <w:right w:type="dxa" w:w="120"/>
            </w:tcMar>
          </w:tcPr>
          <w:p>
            <w:r>
              <w:rPr>
                <w:b/>
                <w:bCs/>
              </w:rPr>
              <w:t xml:space="preserve">When earned</w:t>
            </w:r>
          </w:p>
        </w:tc>
      </w:tr>
      <w:tr>
        <w:tc>
          <w:tcPr>
            <w:tcW w:type="dxa" w:w="3120"/>
            <w:tcMar>
              <w:top w:type="dxa" w:w="80"/>
              <w:left w:type="dxa" w:w="120"/>
              <w:bottom w:type="dxa" w:w="80"/>
              <w:right w:type="dxa" w:w="120"/>
            </w:tcMar>
          </w:tcPr>
          <w:p>
            <w:r>
              <w:t xml:space="preserve">Complete Operational System</w:t>
            </w:r>
          </w:p>
        </w:tc>
        <w:tc>
          <w:tcPr>
            <w:tcW w:type="dxa" w:w="3120"/>
            <w:tcMar>
              <w:top w:type="dxa" w:w="80"/>
              <w:left w:type="dxa" w:w="120"/>
              <w:bottom w:type="dxa" w:w="80"/>
              <w:right w:type="dxa" w:w="120"/>
            </w:tcMar>
          </w:tcPr>
          <w:p>
            <w:r>
              <w:t xml:space="preserve">$1,500</w:t>
            </w:r>
          </w:p>
        </w:tc>
        <w:tc>
          <w:tcPr>
            <w:tcW w:type="dxa" w:w="3120"/>
            <w:tcMar>
              <w:top w:type="dxa" w:w="80"/>
              <w:left w:type="dxa" w:w="120"/>
              <w:bottom w:type="dxa" w:w="80"/>
              <w:right w:type="dxa" w:w="120"/>
            </w:tcMar>
          </w:tcPr>
          <w:p>
            <w:r>
              <w:t xml:space="preserve">On delivery</w:t>
            </w:r>
          </w:p>
        </w:tc>
      </w:tr>
      <w:tr>
        <w:tc>
          <w:tcPr>
            <w:tcW w:type="dxa" w:w="3120"/>
            <w:tcMar>
              <w:top w:type="dxa" w:w="80"/>
              <w:left w:type="dxa" w:w="120"/>
              <w:bottom w:type="dxa" w:w="80"/>
              <w:right w:type="dxa" w:w="120"/>
            </w:tcMar>
          </w:tcPr>
          <w:p>
            <w:r>
              <w:t xml:space="preserve">Resident Agreement + safety-response documentation</w:t>
            </w:r>
          </w:p>
        </w:tc>
        <w:tc>
          <w:tcPr>
            <w:tcW w:type="dxa" w:w="3120"/>
            <w:tcMar>
              <w:top w:type="dxa" w:w="80"/>
              <w:left w:type="dxa" w:w="120"/>
              <w:bottom w:type="dxa" w:w="80"/>
              <w:right w:type="dxa" w:w="120"/>
            </w:tcMar>
          </w:tcPr>
          <w:p>
            <w:r>
              <w:t xml:space="preserve">$500</w:t>
            </w:r>
          </w:p>
        </w:tc>
        <w:tc>
          <w:tcPr>
            <w:tcW w:type="dxa" w:w="3120"/>
            <w:tcMar>
              <w:top w:type="dxa" w:w="80"/>
              <w:left w:type="dxa" w:w="120"/>
              <w:bottom w:type="dxa" w:w="80"/>
              <w:right w:type="dxa" w:w="120"/>
            </w:tcMar>
          </w:tcPr>
          <w:p>
            <w:r>
              <w:t xml:space="preserve">On delivery</w:t>
            </w:r>
          </w:p>
        </w:tc>
      </w:tr>
      <w:tr>
        <w:tc>
          <w:tcPr>
            <w:tcW w:type="dxa" w:w="3120"/>
            <w:tcMar>
              <w:top w:type="dxa" w:w="80"/>
              <w:left w:type="dxa" w:w="120"/>
              <w:bottom w:type="dxa" w:w="80"/>
              <w:right w:type="dxa" w:w="120"/>
            </w:tcMar>
          </w:tcPr>
          <w:p>
            <w:r>
              <w:t xml:space="preserve">NARR Level II readiness package</w:t>
            </w:r>
          </w:p>
        </w:tc>
        <w:tc>
          <w:tcPr>
            <w:tcW w:type="dxa" w:w="3120"/>
            <w:tcMar>
              <w:top w:type="dxa" w:w="80"/>
              <w:left w:type="dxa" w:w="120"/>
              <w:bottom w:type="dxa" w:w="80"/>
              <w:right w:type="dxa" w:w="120"/>
            </w:tcMar>
          </w:tcPr>
          <w:p>
            <w:r>
              <w:t xml:space="preserve">$1,000</w:t>
            </w:r>
          </w:p>
        </w:tc>
        <w:tc>
          <w:tcPr>
            <w:tcW w:type="dxa" w:w="3120"/>
            <w:tcMar>
              <w:top w:type="dxa" w:w="80"/>
              <w:left w:type="dxa" w:w="120"/>
              <w:bottom w:type="dxa" w:w="80"/>
              <w:right w:type="dxa" w:w="120"/>
            </w:tcMar>
          </w:tcPr>
          <w:p>
            <w:r>
              <w:t xml:space="preserve">On delivery</w:t>
            </w:r>
          </w:p>
        </w:tc>
      </w:tr>
      <w:tr>
        <w:tc>
          <w:tcPr>
            <w:tcW w:type="dxa" w:w="3120"/>
            <w:tcMar>
              <w:top w:type="dxa" w:w="80"/>
              <w:left w:type="dxa" w:w="120"/>
              <w:bottom w:type="dxa" w:w="80"/>
              <w:right w:type="dxa" w:w="120"/>
            </w:tcMar>
          </w:tcPr>
          <w:p>
            <w:r>
              <w:t xml:space="preserve">RecoveryOS/VRCC platform setup</w:t>
            </w:r>
          </w:p>
        </w:tc>
        <w:tc>
          <w:tcPr>
            <w:tcW w:type="dxa" w:w="3120"/>
            <w:tcMar>
              <w:top w:type="dxa" w:w="80"/>
              <w:left w:type="dxa" w:w="120"/>
              <w:bottom w:type="dxa" w:w="80"/>
              <w:right w:type="dxa" w:w="120"/>
            </w:tcMar>
          </w:tcPr>
          <w:p>
            <w:r>
              <w:t xml:space="preserve">$750</w:t>
            </w:r>
          </w:p>
        </w:tc>
        <w:tc>
          <w:tcPr>
            <w:tcW w:type="dxa" w:w="3120"/>
            <w:tcMar>
              <w:top w:type="dxa" w:w="80"/>
              <w:left w:type="dxa" w:w="120"/>
              <w:bottom w:type="dxa" w:w="80"/>
              <w:right w:type="dxa" w:w="120"/>
            </w:tcMar>
          </w:tcPr>
          <w:p>
            <w:r>
              <w:t xml:space="preserve">On go-live</w:t>
            </w:r>
          </w:p>
        </w:tc>
      </w:tr>
      <w:tr>
        <w:tc>
          <w:tcPr>
            <w:tcW w:type="dxa" w:w="3120"/>
            <w:tcMar>
              <w:top w:type="dxa" w:w="80"/>
              <w:left w:type="dxa" w:w="120"/>
              <w:bottom w:type="dxa" w:w="80"/>
              <w:right w:type="dxa" w:w="120"/>
            </w:tcMar>
          </w:tcPr>
          <w:p>
            <w:r>
              <w:t xml:space="preserve">Staff training</w:t>
            </w:r>
          </w:p>
        </w:tc>
        <w:tc>
          <w:tcPr>
            <w:tcW w:type="dxa" w:w="3120"/>
            <w:tcMar>
              <w:top w:type="dxa" w:w="80"/>
              <w:left w:type="dxa" w:w="120"/>
              <w:bottom w:type="dxa" w:w="80"/>
              <w:right w:type="dxa" w:w="120"/>
            </w:tcMar>
          </w:tcPr>
          <w:p>
            <w:r>
              <w:t xml:space="preserve">$750</w:t>
            </w:r>
          </w:p>
        </w:tc>
        <w:tc>
          <w:tcPr>
            <w:tcW w:type="dxa" w:w="3120"/>
            <w:tcMar>
              <w:top w:type="dxa" w:w="80"/>
              <w:left w:type="dxa" w:w="120"/>
              <w:bottom w:type="dxa" w:w="80"/>
              <w:right w:type="dxa" w:w="120"/>
            </w:tcMar>
          </w:tcPr>
          <w:p>
            <w:r>
              <w:t xml:space="preserve">On completion</w:t>
            </w:r>
          </w:p>
        </w:tc>
      </w:tr>
      <w:tr>
        <w:tc>
          <w:tcPr>
            <w:tcW w:type="dxa" w:w="3120"/>
            <w:tcMar>
              <w:top w:type="dxa" w:w="80"/>
              <w:left w:type="dxa" w:w="120"/>
              <w:bottom w:type="dxa" w:w="80"/>
              <w:right w:type="dxa" w:w="120"/>
            </w:tcMar>
          </w:tcPr>
          <w:p>
            <w:r>
              <w:rPr>
                <w:b/>
                <w:bCs/>
              </w:rPr>
              <w:t xml:space="preserve">Phase 1 total</w:t>
            </w:r>
          </w:p>
        </w:tc>
        <w:tc>
          <w:tcPr>
            <w:tcW w:type="dxa" w:w="3120"/>
            <w:tcMar>
              <w:top w:type="dxa" w:w="80"/>
              <w:left w:type="dxa" w:w="120"/>
              <w:bottom w:type="dxa" w:w="80"/>
              <w:right w:type="dxa" w:w="120"/>
            </w:tcMar>
          </w:tcPr>
          <w:p>
            <w:r>
              <w:rPr>
                <w:b/>
                <w:bCs/>
              </w:rPr>
              <w:t xml:space="preserve">$4,500</w:t>
            </w:r>
          </w:p>
        </w:tc>
        <w:tc>
          <w:tcPr>
            <w:tcW w:type="dxa" w:w="3120"/>
            <w:tcMar>
              <w:top w:type="dxa" w:w="80"/>
              <w:left w:type="dxa" w:w="120"/>
              <w:bottom w:type="dxa" w:w="80"/>
              <w:right w:type="dxa" w:w="120"/>
            </w:tcMar>
          </w:tcPr>
          <w:p/>
        </w:tc>
      </w:tr>
      <w:tr>
        <w:tc>
          <w:tcPr>
            <w:tcW w:type="dxa" w:w="3120"/>
            <w:tcMar>
              <w:top w:type="dxa" w:w="80"/>
              <w:left w:type="dxa" w:w="120"/>
              <w:bottom w:type="dxa" w:w="80"/>
              <w:right w:type="dxa" w:w="120"/>
            </w:tcMar>
          </w:tcPr>
          <w:p>
            <w:r>
              <w:t xml:space="preserve">Annual NARR renewal support</w:t>
            </w:r>
          </w:p>
        </w:tc>
        <w:tc>
          <w:tcPr>
            <w:tcW w:type="dxa" w:w="3120"/>
            <w:tcMar>
              <w:top w:type="dxa" w:w="80"/>
              <w:left w:type="dxa" w:w="120"/>
              <w:bottom w:type="dxa" w:w="80"/>
              <w:right w:type="dxa" w:w="120"/>
            </w:tcMar>
          </w:tcPr>
          <w:p>
            <w:r>
              <w:t xml:space="preserve">$500/year</w:t>
            </w:r>
          </w:p>
        </w:tc>
        <w:tc>
          <w:tcPr>
            <w:tcW w:type="dxa" w:w="3120"/>
            <w:tcMar>
              <w:top w:type="dxa" w:w="80"/>
              <w:left w:type="dxa" w:w="120"/>
              <w:bottom w:type="dxa" w:w="80"/>
              <w:right w:type="dxa" w:w="120"/>
            </w:tcMar>
          </w:tcPr>
          <w:p>
            <w:r>
              <w:t xml:space="preserve">At renewal</w:t>
            </w:r>
          </w:p>
        </w:tc>
      </w:tr>
    </w:tbl>
    <w:p>
      <w:pPr>
        <w:spacing w:after="60"/>
      </w:pPr>
    </w:p>
    <w:p>
      <w:pPr>
        <w:spacing w:after="160"/>
      </w:pPr>
      <w:r>
        <w:rPr>
          <w:b/>
          <w:bCs/>
        </w:rPr>
        <w:t xml:space="preserve">5.2 Phase 1 Payment Schedule.</w:t>
      </w:r>
      <w:r>
        <w:t xml:space="preserve"> The Phase 1 total is payable in three equal installments of $1,500. Installments are first invoiced in the month occupancy first reaches 70% (7 of 10 beds), then in each of the two following months. If occupancy falls below 70% between installments, the next installment is deferred until 70% occupancy has been maintained for thirty (30) consecutive days. The Phase 1 schedule does not delay the monthly retainer, which begins per Section 5.3 in the first month of resident occupancy.</w:t>
      </w:r>
    </w:p>
    <w:p>
      <w:pPr>
        <w:spacing w:after="160"/>
      </w:pPr>
      <w:r>
        <w:rPr>
          <w:b/>
          <w:bCs/>
        </w:rPr>
        <w:t xml:space="preserve">5.3 Monthly Retainer — Service-Volume Schedule.</w:t>
      </w:r>
      <w:r>
        <w:t xml:space="preserve"> The monthly retainer compensates the defined Phase 2 services at fair market value. Because the volume of coaching, navigation, crisis coverage, and support services scales with the number of residents served, the retainer is set by the service-volume schedule below, measured by the number of residents actively participating in the program on the first day of the billing month (Operator provides the count on the first business day of each month):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Mar>
              <w:top w:type="dxa" w:w="80"/>
              <w:left w:type="dxa" w:w="120"/>
              <w:bottom w:type="dxa" w:w="80"/>
              <w:right w:type="dxa" w:w="120"/>
            </w:tcMar>
          </w:tcPr>
          <w:p>
            <w:r>
              <w:rPr>
                <w:b/>
                <w:bCs/>
              </w:rPr>
              <w:t xml:space="preserve">Residents served</w:t>
            </w:r>
          </w:p>
        </w:tc>
        <w:tc>
          <w:tcPr>
            <w:tcW w:type="dxa" w:w="4680"/>
            <w:tcMar>
              <w:top w:type="dxa" w:w="80"/>
              <w:left w:type="dxa" w:w="120"/>
              <w:bottom w:type="dxa" w:w="80"/>
              <w:right w:type="dxa" w:w="120"/>
            </w:tcMar>
          </w:tcPr>
          <w:p>
            <w:r>
              <w:rPr>
                <w:b/>
                <w:bCs/>
              </w:rPr>
              <w:t xml:space="preserve">Monthly retainer</w:t>
            </w:r>
          </w:p>
        </w:tc>
      </w:tr>
      <w:tr>
        <w:tc>
          <w:tcPr>
            <w:tcW w:type="dxa" w:w="4680"/>
            <w:tcMar>
              <w:top w:type="dxa" w:w="80"/>
              <w:left w:type="dxa" w:w="120"/>
              <w:bottom w:type="dxa" w:w="80"/>
              <w:right w:type="dxa" w:w="120"/>
            </w:tcMar>
          </w:tcPr>
          <w:p>
            <w:r>
              <w:t xml:space="preserve">6 or more</w:t>
            </w:r>
          </w:p>
        </w:tc>
        <w:tc>
          <w:tcPr>
            <w:tcW w:type="dxa" w:w="4680"/>
            <w:tcMar>
              <w:top w:type="dxa" w:w="80"/>
              <w:left w:type="dxa" w:w="120"/>
              <w:bottom w:type="dxa" w:w="80"/>
              <w:right w:type="dxa" w:w="120"/>
            </w:tcMar>
          </w:tcPr>
          <w:p>
            <w:r>
              <w:t xml:space="preserve">$1,200</w:t>
            </w:r>
          </w:p>
        </w:tc>
      </w:tr>
      <w:tr>
        <w:tc>
          <w:tcPr>
            <w:tcW w:type="dxa" w:w="4680"/>
            <w:tcMar>
              <w:top w:type="dxa" w:w="80"/>
              <w:left w:type="dxa" w:w="120"/>
              <w:bottom w:type="dxa" w:w="80"/>
              <w:right w:type="dxa" w:w="120"/>
            </w:tcMar>
          </w:tcPr>
          <w:p>
            <w:r>
              <w:t xml:space="preserve">5</w:t>
            </w:r>
          </w:p>
        </w:tc>
        <w:tc>
          <w:tcPr>
            <w:tcW w:type="dxa" w:w="4680"/>
            <w:tcMar>
              <w:top w:type="dxa" w:w="80"/>
              <w:left w:type="dxa" w:w="120"/>
              <w:bottom w:type="dxa" w:w="80"/>
              <w:right w:type="dxa" w:w="120"/>
            </w:tcMar>
          </w:tcPr>
          <w:p>
            <w:r>
              <w:t xml:space="preserve">$1,000</w:t>
            </w:r>
          </w:p>
        </w:tc>
      </w:tr>
      <w:tr>
        <w:tc>
          <w:tcPr>
            <w:tcW w:type="dxa" w:w="4680"/>
            <w:tcMar>
              <w:top w:type="dxa" w:w="80"/>
              <w:left w:type="dxa" w:w="120"/>
              <w:bottom w:type="dxa" w:w="80"/>
              <w:right w:type="dxa" w:w="120"/>
            </w:tcMar>
          </w:tcPr>
          <w:p>
            <w:r>
              <w:t xml:space="preserve">4</w:t>
            </w:r>
          </w:p>
        </w:tc>
        <w:tc>
          <w:tcPr>
            <w:tcW w:type="dxa" w:w="4680"/>
            <w:tcMar>
              <w:top w:type="dxa" w:w="80"/>
              <w:left w:type="dxa" w:w="120"/>
              <w:bottom w:type="dxa" w:w="80"/>
              <w:right w:type="dxa" w:w="120"/>
            </w:tcMar>
          </w:tcPr>
          <w:p>
            <w:r>
              <w:t xml:space="preserve">$800</w:t>
            </w:r>
          </w:p>
        </w:tc>
      </w:tr>
      <w:tr>
        <w:tc>
          <w:tcPr>
            <w:tcW w:type="dxa" w:w="4680"/>
            <w:tcMar>
              <w:top w:type="dxa" w:w="80"/>
              <w:left w:type="dxa" w:w="120"/>
              <w:bottom w:type="dxa" w:w="80"/>
              <w:right w:type="dxa" w:w="120"/>
            </w:tcMar>
          </w:tcPr>
          <w:p>
            <w:r>
              <w:t xml:space="preserve">3</w:t>
            </w:r>
          </w:p>
        </w:tc>
        <w:tc>
          <w:tcPr>
            <w:tcW w:type="dxa" w:w="4680"/>
            <w:tcMar>
              <w:top w:type="dxa" w:w="80"/>
              <w:left w:type="dxa" w:w="120"/>
              <w:bottom w:type="dxa" w:w="80"/>
              <w:right w:type="dxa" w:w="120"/>
            </w:tcMar>
          </w:tcPr>
          <w:p>
            <w:r>
              <w:t xml:space="preserve">$600</w:t>
            </w:r>
          </w:p>
        </w:tc>
      </w:tr>
      <w:tr>
        <w:tc>
          <w:tcPr>
            <w:tcW w:type="dxa" w:w="4680"/>
            <w:tcMar>
              <w:top w:type="dxa" w:w="80"/>
              <w:left w:type="dxa" w:w="120"/>
              <w:bottom w:type="dxa" w:w="80"/>
              <w:right w:type="dxa" w:w="120"/>
            </w:tcMar>
          </w:tcPr>
          <w:p>
            <w:r>
              <w:t xml:space="preserve">2</w:t>
            </w:r>
          </w:p>
        </w:tc>
        <w:tc>
          <w:tcPr>
            <w:tcW w:type="dxa" w:w="4680"/>
            <w:tcMar>
              <w:top w:type="dxa" w:w="80"/>
              <w:left w:type="dxa" w:w="120"/>
              <w:bottom w:type="dxa" w:w="80"/>
              <w:right w:type="dxa" w:w="120"/>
            </w:tcMar>
          </w:tcPr>
          <w:p>
            <w:r>
              <w:t xml:space="preserve">$400</w:t>
            </w:r>
          </w:p>
        </w:tc>
      </w:tr>
      <w:tr>
        <w:tc>
          <w:tcPr>
            <w:tcW w:type="dxa" w:w="4680"/>
            <w:tcMar>
              <w:top w:type="dxa" w:w="80"/>
              <w:left w:type="dxa" w:w="120"/>
              <w:bottom w:type="dxa" w:w="80"/>
              <w:right w:type="dxa" w:w="120"/>
            </w:tcMar>
          </w:tcPr>
          <w:p>
            <w:r>
              <w:t xml:space="preserve">1</w:t>
            </w:r>
          </w:p>
        </w:tc>
        <w:tc>
          <w:tcPr>
            <w:tcW w:type="dxa" w:w="4680"/>
            <w:tcMar>
              <w:top w:type="dxa" w:w="80"/>
              <w:left w:type="dxa" w:w="120"/>
              <w:bottom w:type="dxa" w:w="80"/>
              <w:right w:type="dxa" w:w="120"/>
            </w:tcMar>
          </w:tcPr>
          <w:p>
            <w:r>
              <w:t xml:space="preserve">$200</w:t>
            </w:r>
          </w:p>
        </w:tc>
      </w:tr>
      <w:tr>
        <w:tc>
          <w:tcPr>
            <w:tcW w:type="dxa" w:w="4680"/>
            <w:tcMar>
              <w:top w:type="dxa" w:w="80"/>
              <w:left w:type="dxa" w:w="120"/>
              <w:bottom w:type="dxa" w:w="80"/>
              <w:right w:type="dxa" w:w="120"/>
            </w:tcMar>
          </w:tcPr>
          <w:p>
            <w:r>
              <w:t xml:space="preserve">0</w:t>
            </w:r>
          </w:p>
        </w:tc>
        <w:tc>
          <w:tcPr>
            <w:tcW w:type="dxa" w:w="4680"/>
            <w:tcMar>
              <w:top w:type="dxa" w:w="80"/>
              <w:left w:type="dxa" w:w="120"/>
              <w:bottom w:type="dxa" w:w="80"/>
              <w:right w:type="dxa" w:w="120"/>
            </w:tcMar>
          </w:tcPr>
          <w:p>
            <w:r>
              <w:t xml:space="preserve">$0</w:t>
            </w:r>
          </w:p>
        </w:tc>
      </w:tr>
    </w:tbl>
    <w:p>
      <w:pPr>
        <w:spacing w:after="60"/>
      </w:pPr>
    </w:p>
    <w:p>
      <w:pPr>
        <w:spacing w:after="160"/>
      </w:pPr>
      <w:r>
        <w:t xml:space="preserve">The full $1,200 retainer resumes immediately upon return to six or more residents. </w:t>
      </w:r>
      <w:r>
        <w:rPr>
          <w:b/>
          <w:bCs/>
        </w:rPr>
        <w:t xml:space="preserve">This schedule is a fair-market-value fee for services actually scaled to residents served; it is not a share of, or participation in, Operator revenue, and Service Provider acquires no interest in resident fees through it.</w:t>
      </w:r>
    </w:p>
    <w:p>
      <w:pPr>
        <w:spacing w:after="160"/>
      </w:pPr>
      <w:r>
        <w:rPr>
          <w:b/>
          <w:bCs/>
        </w:rPr>
        <w:t xml:space="preserve">5.4 Invoicing and Payment.</w:t>
      </w:r>
      <w:r>
        <w:t xml:space="preserve"> Service Provider invoices Operator on the first business day of each month for the prior month's retainer. Operator pays within ten (10) business days. If an invoice is thirty (30) or more days past due, Service Provider may suspend ongoing services on written notice until payment is received.</w:t>
      </w:r>
    </w:p>
    <w:p>
      <w:pPr>
        <w:spacing w:after="160"/>
      </w:pPr>
      <w:r>
        <w:rPr>
          <w:b/>
          <w:bCs/>
        </w:rPr>
        <w:t xml:space="preserve">5.5 Annual Review.</w:t>
      </w:r>
      <w:r>
        <w:t xml:space="preserve"> The retainer schedule and this Article are reviewed annually at renewal. Either party may propose adjustments on sixty (60) days' written notice; any change requires a written amendment signed by both parties.</w:t>
      </w:r>
    </w:p>
    <w:p>
      <w:pPr>
        <w:pStyle w:val="Heading2"/>
        <w:spacing w:after="120" w:before="240"/>
      </w:pPr>
      <w:r>
        <w:rPr>
          <w:b/>
          <w:bCs/>
          <w:sz w:val="26"/>
          <w:szCs w:val="26"/>
        </w:rPr>
        <w:t xml:space="preserve">Article 6 — Admission, Discharge &amp; Residency Authority</w:t>
      </w:r>
    </w:p>
    <w:p>
      <w:pPr>
        <w:spacing w:after="160"/>
      </w:pPr>
      <w:r>
        <w:rPr>
          <w:b/>
          <w:bCs/>
        </w:rPr>
        <w:t xml:space="preserve">6.1 Operator Authority.</w:t>
      </w:r>
      <w:r>
        <w:t xml:space="preserve"> Operator retains the legally operative housing and residency decision authority — including admission, residency terms, and discharge — unless a defined decision is explicitly delegated to Service Provider in writing.</w:t>
      </w:r>
    </w:p>
    <w:p>
      <w:pPr>
        <w:spacing w:after="160"/>
      </w:pPr>
      <w:r>
        <w:rPr>
          <w:b/>
          <w:bCs/>
        </w:rPr>
        <w:t xml:space="preserve">6.2 Service Provider Support.</w:t>
      </w:r>
      <w:r>
        <w:t xml:space="preserve"> GFA provides, in support of Operator decisions: screening support; recovery-readiness information; program recommendations; coaching and navigation input; safety-support information; and documentation and RecoveryOS workflows.</w:t>
      </w:r>
    </w:p>
    <w:p>
      <w:pPr>
        <w:spacing w:after="160"/>
      </w:pPr>
      <w:r>
        <w:rPr>
          <w:b/>
          <w:bCs/>
        </w:rPr>
        <w:t xml:space="preserve">6.3 RecoveryOS Boundaries.</w:t>
      </w:r>
      <w:r>
        <w:t xml:space="preserve"> RecoveryOS may organize evidence, present readiness, document decisions, create follow-ups, and support workflows. </w:t>
      </w:r>
      <w:r>
        <w:rPr>
          <w:b/>
          <w:bCs/>
        </w:rPr>
        <w:t xml:space="preserve">RecoveryOS never automatically admits or discharges a resident</w:t>
      </w:r>
      <w:r>
        <w:t xml:space="preserve">; approval of an application and admission to residency are separate deliberate human acts.</w:t>
      </w:r>
    </w:p>
    <w:p>
      <w:pPr>
        <w:spacing w:after="160"/>
      </w:pPr>
      <w:r>
        <w:rPr>
          <w:b/>
          <w:bCs/>
        </w:rPr>
        <w:t xml:space="preserve">6.4 Return to Use.</w:t>
      </w:r>
      <w:r>
        <w:t xml:space="preserve"> A positive or concerning screening result is met with the following sequence, always: care conversation → immediate safety/circumstances assessment → intensified support as appropriate → higher-level-of-care referral where appropriate → community-safety/continued-fit evaluation → </w:t>
      </w:r>
      <w:r>
        <w:rPr>
          <w:b/>
          <w:bCs/>
        </w:rPr>
        <w:t xml:space="preserve">documented human decision</w:t>
      </w:r>
      <w:r>
        <w:t xml:space="preserve">. </w:t>
      </w:r>
      <w:r>
        <w:rPr>
          <w:b/>
          <w:bCs/>
        </w:rPr>
        <w:t xml:space="preserve">No screening result automatically terminates residency.</w:t>
      </w:r>
    </w:p>
    <w:p>
      <w:pPr>
        <w:pStyle w:val="Heading2"/>
        <w:spacing w:after="120" w:before="240"/>
      </w:pPr>
      <w:r>
        <w:rPr>
          <w:b/>
          <w:bCs/>
          <w:sz w:val="26"/>
          <w:szCs w:val="26"/>
        </w:rPr>
        <w:t xml:space="preserve">Article 7 — RecoveryOS / VRCC Platform</w:t>
      </w:r>
    </w:p>
    <w:p>
      <w:pPr>
        <w:spacing w:after="160"/>
      </w:pPr>
      <w:r>
        <w:t xml:space="preserve">Service Provider provides and maintains the RecoveryOS / Virtual Recovery Community Center platform as infrastructure supporting application and intake, admission readiness, document delivery, consent, resident support, coaching and navigation, recovery planning, service documentation, compliance evidence, reporting, and follow-up. The parties agree: software does not replace human authority; application approval and admission are separate acts; the software never automatically discharges anyone; residents may sign documents electronically or on paper with no adverse consequence for choosing paper; consent and information disclosure are governed by their own recorded authorizations, separate from documents; access is role- and permission-controlled; sensitive information is minimized to what the work genuinely requires; and the relationship between the resident and the people supporting him takes priority over unnecessary documentation.</w:t>
      </w:r>
    </w:p>
    <w:p>
      <w:pPr>
        <w:pStyle w:val="Heading2"/>
        <w:spacing w:after="120" w:before="240"/>
      </w:pPr>
      <w:r>
        <w:rPr>
          <w:b/>
          <w:bCs/>
          <w:sz w:val="26"/>
          <w:szCs w:val="26"/>
        </w:rPr>
        <w:t xml:space="preserve">Article 8 — Policy &amp; Document Authority</w:t>
      </w:r>
    </w:p>
    <w:p>
      <w:pPr>
        <w:spacing w:after="160"/>
      </w:pPr>
      <w:r>
        <w:t xml:space="preserve">Service Provider may develop, recommend, maintain, and technically implement program and recovery-support policies, documents, and systems within its professional scope. </w:t>
      </w:r>
      <w:r>
        <w:rPr>
          <w:b/>
          <w:bCs/>
        </w:rPr>
        <w:t xml:space="preserve">Operator retains approval authority for any policy that materially establishes housing terms, resident financial obligations, resident agreements, property rules, housing admission/discharge authority, or Operator legal responsibilities.</w:t>
      </w:r>
      <w:r>
        <w:t xml:space="preserve"> Where a policy materially affects both parties' responsibilities, it takes effect on joint ratification. Technical implementation in RecoveryOS never constitutes policy approval.</w:t>
      </w:r>
    </w:p>
    <w:p>
      <w:pPr>
        <w:pStyle w:val="Heading2"/>
        <w:spacing w:after="120" w:before="240"/>
      </w:pPr>
      <w:r>
        <w:rPr>
          <w:b/>
          <w:bCs/>
          <w:sz w:val="26"/>
          <w:szCs w:val="26"/>
        </w:rPr>
        <w:t xml:space="preserve">Article 9 — Insurance &amp; Liability</w:t>
      </w:r>
    </w:p>
    <w:p>
      <w:pPr>
        <w:spacing w:after="160"/>
      </w:pPr>
      <w:r>
        <w:t xml:space="preserve">Service Provider carries: commercial general liability ($1M/$2M), professional liability ($1M), and workers' compensation; Operator is named additional insured on the CGL. Operator carries premises liability insurance ($1M minimum); Service Provider is named additional insured. Service Provider's aggregate liability is capped at the fees paid in the prior twelve (12) months. Each party indemnifies the other for its own acts and omissions.</w:t>
      </w:r>
    </w:p>
    <w:p>
      <w:pPr>
        <w:pStyle w:val="Heading2"/>
        <w:spacing w:after="120" w:before="240"/>
      </w:pPr>
      <w:r>
        <w:rPr>
          <w:b/>
          <w:bCs/>
          <w:sz w:val="26"/>
          <w:szCs w:val="26"/>
        </w:rPr>
        <w:t xml:space="preserve">Article 10 — Term &amp; Termination</w:t>
      </w:r>
    </w:p>
    <w:p>
      <w:pPr>
        <w:spacing w:after="160"/>
      </w:pPr>
      <w:r>
        <w:t xml:space="preserve">Initial term twelve (12) months, renewing automatically for successive annual terms. Termination for cause on thirty (30) days' written notice with opportunity to cure; termination without cause on sixty (60) days' written notice. On termination: all program documentation prepared for Operator is delivered to Operator; outstanding invoices are due immediately; earned milestone fees are non-refundable; resident records and consents are handled per Article 11 and applicable law.</w:t>
      </w:r>
    </w:p>
    <w:p>
      <w:pPr>
        <w:pStyle w:val="Heading2"/>
        <w:spacing w:after="120" w:before="240"/>
      </w:pPr>
      <w:r>
        <w:rPr>
          <w:b/>
          <w:bCs/>
          <w:sz w:val="26"/>
          <w:szCs w:val="26"/>
        </w:rPr>
        <w:t xml:space="preserve">Article 11 — Confidentiality &amp; Legal Compliance</w:t>
      </w:r>
    </w:p>
    <w:p>
      <w:pPr>
        <w:spacing w:after="160"/>
      </w:pPr>
      <w:r>
        <w:t xml:space="preserve">All participant information is protected consistent with applicable federal and state confidentiality law — </w:t>
      </w:r>
      <w:r>
        <w:rPr>
          <w:b/>
          <w:bCs/>
        </w:rPr>
        <w:t xml:space="preserve">including 42 C.F.R. Part 2 and HIPAA where and to the extent they apply</w:t>
      </w:r>
      <w:r>
        <w:t xml:space="preserve"> — and with the parties' own consent and minimum-necessary practices. No participant information is disclosed except as required by law or with the participant's specific written, revocable consent. This obligation survives termination.</w:t>
      </w:r>
    </w:p>
    <w:p>
      <w:pPr>
        <w:spacing w:after="160"/>
      </w:pPr>
      <w:r>
        <w:rPr>
          <w:b/>
          <w:bCs/>
        </w:rPr>
        <w:t xml:space="preserve">Qualified-application acknowledgment.</w:t>
      </w:r>
      <w:r>
        <w:t xml:space="preserve"> The parties acknowledge that (a) the characterization of resident occupancy under Iowa Code ch. 562A (including any § 562A.5 analysis) remains subject to confirmation by qualified Iowa counsel and is not resolved or created by this Agreement; (b) neither party asserts by this Agreement that it is a HIPAA-covered entity or a Part 2 program — applicability is determined under those laws; (c) any notice that applicable law requires to be delivered in nonelectronic form (including any applicable eviction, termination, default, or right-to-cure notice) is delivered and recorded in the required form, and electronic delivery alone is never treated as legally sufficient for such a notice; and (d) safety-response and removal procedures are exercised consistent with applicable law as confirmed by counsel, not with characterizations assumed in prior drafts.</w:t>
      </w:r>
    </w:p>
    <w:p>
      <w:pPr>
        <w:pStyle w:val="Heading2"/>
        <w:spacing w:after="120" w:before="240"/>
      </w:pPr>
      <w:r>
        <w:rPr>
          <w:b/>
          <w:bCs/>
          <w:sz w:val="26"/>
          <w:szCs w:val="26"/>
        </w:rPr>
        <w:t xml:space="preserve">Article 12 — Dispute Resolution</w:t>
      </w:r>
    </w:p>
    <w:p>
      <w:pPr>
        <w:spacing w:after="160"/>
      </w:pPr>
      <w:r>
        <w:t xml:space="preserve">Good-faith negotiation, then non-binding mediation in Polk County, Iowa, then binding AAA arbitration in Des Moines. Iowa law governs. The prevailing party recovers reasonable attorney's fees.</w:t>
      </w:r>
    </w:p>
    <w:p>
      <w:pPr>
        <w:pStyle w:val="Heading2"/>
        <w:spacing w:after="120" w:before="240"/>
      </w:pPr>
      <w:r>
        <w:rPr>
          <w:b/>
          <w:bCs/>
          <w:sz w:val="26"/>
          <w:szCs w:val="26"/>
        </w:rPr>
        <w:t xml:space="preserve">Article 13 — General</w:t>
      </w:r>
    </w:p>
    <w:p>
      <w:pPr>
        <w:spacing w:after="160"/>
      </w:pPr>
      <w:r>
        <w:t xml:space="preserve">Entire agreement (supersedes all prior discussions and drafts, including Version 4.0); amendments only in a writing signed by both parties; severability; no personal guarantees (Article 1.4); both parties confirm the opportunity to seek Iowa legal counsel; notices in writing to the addresses in the Parties block; governing law: State of Iowa.</w:t>
      </w:r>
    </w:p>
    <w:p>
      <w:pPr>
        <w:pStyle w:val="Heading2"/>
        <w:spacing w:after="120" w:before="240"/>
      </w:pPr>
      <w:r>
        <w:rPr>
          <w:b/>
          <w:bCs/>
          <w:sz w:val="26"/>
          <w:szCs w:val="26"/>
        </w:rPr>
        <w:t xml:space="preserve">Article 14 — Signatures</w:t>
      </w:r>
    </w:p>
    <w:p>
      <w:pPr>
        <w:spacing w:after="160"/>
      </w:pPr>
      <w:r>
        <w:t xml:space="preserve">By signing, each party confirms full review of this Agreement, the opportunity to seek legal counsel, and voluntary agreement to be bound by its terms. Each signatory confirms that they hold authority to execute this Agreement in the capacity stated.</w:t>
      </w:r>
    </w:p>
    <w:p>
      <w:pPr>
        <w:spacing w:after="160"/>
      </w:pPr>
      <w:r>
        <w:rPr>
          <w:b/>
          <w:bCs/>
        </w:rPr>
        <w:t xml:space="preserve">OPERATOR — ERNEST &amp; JOHNNIE WHITE RECOVERY HOUSE, L.L.C.</w:t>
      </w:r>
    </w:p>
    <w:p>
      <w:pPr>
        <w:spacing w:after="160"/>
      </w:pPr>
      <w:r>
        <w:t xml:space="preserve">Signature: ______________________________ Date: ______________</w:t>
      </w:r>
    </w:p>
    <w:p>
      <w:pPr>
        <w:spacing w:after="160"/>
      </w:pPr>
      <w:r>
        <w:t xml:space="preserve">Authorized Member / Manager / Representative Printed name and title: Curtis White, Sole Member — Ernest &amp; Johnnie White Recovery House, L.L.C. (Iowa Business No. 872192)</w:t>
      </w:r>
    </w:p>
    <w:p>
      <w:pPr>
        <w:spacing w:after="160"/>
      </w:pPr>
      <w:r>
        <w:rPr>
          <w:b/>
          <w:bCs/>
        </w:rPr>
        <w:t xml:space="preserve">CONTRACTED RECOVERY PROGRAM &amp; TECHNICAL SERVICES PROVIDER — GRACE FOR ADDICTIONS</w:t>
      </w:r>
    </w:p>
    <w:p>
      <w:pPr>
        <w:spacing w:after="160"/>
      </w:pPr>
      <w:r>
        <w:t xml:space="preserve">Signature: ______________________________ Date: ______________</w:t>
      </w:r>
    </w:p>
    <w:p>
      <w:pPr>
        <w:spacing w:after="160"/>
      </w:pPr>
      <w:r>
        <w:t xml:space="preserve">Authorized Organizational Representative Printed name and title: Dave Stout, President — Grace For Addictions, a 501(c)(3) Recovery Community Organization</w:t>
      </w:r>
    </w:p>
    <w:p>
      <w:pPr>
        <w:spacing w:after="160"/>
      </w:pPr>
      <w:r>
        <w:t xml:space="preserve">*Ernest &amp; Johnnie White Recovery House, L.L.C. · Professional Services Agreement v4.1 · 2026 · Confidential*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2026-08-25T01:50:48.063Z</dcterms:created>
  <dcterms:modified xsi:type="dcterms:W3CDTF">2026-08-25T01:50:48.063Z</dcterms:modified>
</cp:coreProperties>
</file>

<file path=docProps/custom.xml><?xml version="1.0" encoding="utf-8"?>
<Properties xmlns="http://schemas.openxmlformats.org/officeDocument/2006/custom-properties" xmlns:vt="http://schemas.openxmlformats.org/officeDocument/2006/docPropsVTypes"/>
</file>