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Sections 2–3 — Market-Agnostic Revisions (1996–2000 Constraints)</w:t>
      </w:r>
    </w:p>
    <w:p>
      <w:pPr>
        <w:pStyle w:val="Heading2"/>
      </w:pPr>
      <w:r>
        <w:t>2(a) Error Counts vs. Learning Curve — Decision Framework</w:t>
      </w:r>
    </w:p>
    <w:p>
      <w:r>
        <w:t>Operating Principle: Optimize for rate of improvement over time, not zero errors on first touch. In a Win95/98/NT4/2000 context, novice users expect minor missteps; what matters is how quickly errors decay between sessions.</w:t>
      </w:r>
    </w:p>
    <w:p>
      <w:r>
        <w:t>KPIs to instrument:</w:t>
      </w:r>
    </w:p>
    <w:p>
      <w:pPr>
        <w:pStyle w:val="ListBullet"/>
      </w:pPr>
      <w:r>
        <w:t>T1: First-attempt task time; T3: third-attempt task time; ΔT = T1–T3 (higher is better).</w:t>
      </w:r>
    </w:p>
    <w:p>
      <w:pPr>
        <w:pStyle w:val="ListBullet"/>
      </w:pPr>
      <w:r>
        <w:t>Error Decay Index: e1/e3 (ratio of first-session to third-session errors). Target ≤ 0.4.</w:t>
      </w:r>
    </w:p>
    <w:p>
      <w:pPr>
        <w:pStyle w:val="ListBullet"/>
      </w:pPr>
      <w:r>
        <w:t>Assist Reliance: help invocations/session (CHM opens, tooltip dwell ≥ 1.5s). Downward trend expected.</w:t>
      </w:r>
    </w:p>
    <w:p>
      <w:pPr>
        <w:pStyle w:val="ListBullet"/>
      </w:pPr>
      <w:r>
        <w:t>Retention: task success without prompts after 72 hours.</w:t>
      </w:r>
    </w:p>
    <w:p>
      <w:r>
        <w:t>Policy: Ship the design that demonstrates faster error decay and lower assist reliance in longitudinal tests, even if its initial error count is marginally higher than an alternative.</w:t>
      </w:r>
    </w:p>
    <w:p>
      <w:pPr>
        <w:pStyle w:val="Heading2"/>
      </w:pPr>
      <w:r>
        <w:t>2(b) GOMS/KLM — Period-Correct Methods and Assumptions</w:t>
      </w:r>
    </w:p>
    <w:p>
      <w:r>
        <w:t>Use GOMS for qualitative method selection and KLM (Keystroke-Level Model) for quantitative time estimates. Assume late-90s operator times: K=0.20s, P=1.10s, B=0.10s, R=0.10s, H=0.40s, M=1.35s. Model common file tasks (create, rename, move) in Explorer with context-menu and menu-bar variants.</w:t>
      </w:r>
    </w:p>
    <w:p>
      <w:r>
        <w:t>Selection Rules:</w:t>
      </w:r>
    </w:p>
    <w:p>
      <w:pPr>
        <w:pStyle w:val="ListBullet"/>
      </w:pPr>
      <w:r>
        <w:t>If user is already in Explorer, context-menu method dominates due to fewer homing and mode switches.</w:t>
      </w:r>
    </w:p>
    <w:p>
      <w:pPr>
        <w:pStyle w:val="ListBullet"/>
      </w:pPr>
      <w:r>
        <w:t>Menu-bar method preferred in keyboard-centric workflows on NT4/2000 with consistent Alt-accelerators.</w:t>
      </w:r>
    </w:p>
    <w:p>
      <w:pPr>
        <w:pStyle w:val="ListBullet"/>
      </w:pPr>
      <w:r>
        <w:t>Avoid introducing novel widgets that lack established KLM parameters unless we can validate via timed studies.</w:t>
      </w:r>
    </w:p>
    <w:p>
      <w:pPr>
        <w:pStyle w:val="Heading2"/>
      </w:pPr>
      <w:r>
        <w:t>2(c) A/B Time Series (“Graph 1”) — When to Choose the Slower Option</w:t>
      </w:r>
    </w:p>
    <w:p>
      <w:r>
        <w:t>If Design B is consistently faster across sessions, default to B. Override only when task risk profile, discoverability, or batch error cost justify a slower but safer Design A. Document the trade-off: ‘+2.3s median per task; −48% severe errors; +21% first-session success rate.’</w:t>
      </w:r>
    </w:p>
    <w:p>
      <w:pPr>
        <w:pStyle w:val="Heading2"/>
      </w:pPr>
      <w:r>
        <w:t>3(b) Batch File Converter — Interaction Strategy (Keep It Simple)</w:t>
      </w:r>
    </w:p>
    <w:p>
      <w:r>
        <w:t>Primary surface: direct manipulation in a single-window Win32 GUI. No mandatory wizard per run. Users build a queue, choose format/output, and execute.</w:t>
      </w:r>
    </w:p>
    <w:p>
      <w:r>
        <w:t>Core UI elements:</w:t>
      </w:r>
    </w:p>
    <w:p>
      <w:pPr>
        <w:pStyle w:val="ListBullet"/>
      </w:pPr>
      <w:r>
        <w:t>Multi-select File Open dialog → listbox queue with columns (Name, Size, Source Path, Status).</w:t>
      </w:r>
    </w:p>
    <w:p>
      <w:pPr>
        <w:pStyle w:val="ListBullet"/>
      </w:pPr>
      <w:r>
        <w:t>Toolbar: Add, Remove, Move Up/Down, Output Folder, Convert, Stop.</w:t>
      </w:r>
    </w:p>
    <w:p>
      <w:pPr>
        <w:pStyle w:val="ListBullet"/>
      </w:pPr>
      <w:r>
        <w:t>Menu + accelerators: File (Alt+F), Edit (Alt+E), View (Alt+V), Help (F1).</w:t>
      </w:r>
    </w:p>
    <w:p>
      <w:pPr>
        <w:pStyle w:val="ListBullet"/>
      </w:pPr>
      <w:r>
        <w:t>Status bar with progress and error count; log panel toggled via View.</w:t>
      </w:r>
    </w:p>
    <w:p>
      <w:r>
        <w:t>Power paths:</w:t>
      </w:r>
    </w:p>
    <w:p>
      <w:pPr>
        <w:pStyle w:val="ListBullet"/>
      </w:pPr>
      <w:r>
        <w:t>Drag-and-drop onto the queue list.</w:t>
      </w:r>
    </w:p>
    <w:p>
      <w:pPr>
        <w:pStyle w:val="ListBullet"/>
      </w:pPr>
      <w:r>
        <w:t>Function keys: F2 rename, F5 convert, Esc cancel.</w:t>
      </w:r>
    </w:p>
    <w:p>
      <w:pPr>
        <w:pStyle w:val="ListBullet"/>
      </w:pPr>
      <w:r>
        <w:t>Right-click context menu on queue items.</w:t>
      </w:r>
    </w:p>
    <w:p>
      <w:r>
        <w:t>De-prioritize:</w:t>
      </w:r>
    </w:p>
    <w:p>
      <w:pPr>
        <w:pStyle w:val="ListBullet"/>
      </w:pPr>
      <w:r>
        <w:t>Voice input (accuracy/training overhead circa 1999).</w:t>
      </w:r>
    </w:p>
    <w:p>
      <w:pPr>
        <w:pStyle w:val="ListBullet"/>
      </w:pPr>
      <w:r>
        <w:t>Modal wizards for routine batch runs (increase friction, limit flexibility).</w:t>
      </w:r>
    </w:p>
    <w:p>
      <w:pPr>
        <w:pStyle w:val="Heading2"/>
      </w:pPr>
      <w:r>
        <w:t>3(c) User Variability — Practical Accommodations</w:t>
      </w:r>
    </w:p>
    <w:p>
      <w:pPr>
        <w:pStyle w:val="ListBullet"/>
      </w:pPr>
      <w:r>
        <w:t>Accessibility: full keyboard navigation with clear Tab order; respect system high-contrast themes; no text baked into bitmaps.</w:t>
      </w:r>
    </w:p>
    <w:p>
      <w:pPr>
        <w:pStyle w:val="ListBullet"/>
      </w:pPr>
      <w:r>
        <w:t>Motor precision: larger click targets (≥ 24 px at 96 DPI) and sticky selections for low-DPI mice.</w:t>
      </w:r>
    </w:p>
    <w:p>
      <w:pPr>
        <w:pStyle w:val="ListBullet"/>
      </w:pPr>
      <w:r>
        <w:t>Experience spectrum: surface tooltips and CHM topics; avoid jargon in error messages; provide safe defaults and reversible operations.</w:t>
      </w:r>
    </w:p>
    <w:p>
      <w:pPr>
        <w:pStyle w:val="Heading2"/>
      </w:pPr>
      <w:r>
        <w:t>Executive Summary — Sections 2–3</w:t>
      </w:r>
    </w:p>
    <w:p>
      <w:r>
        <w:t>Decision guardrails: prefer designs with faster learning curves and lower severe-error rates over designs with marginally faster first-use times. Leverage GOMS/KLM for predictability, validate with longitudinal studies, and keep the batch converter’s UX flat, direct, and keyboard-friendly. Build hooks for internationalization without committing to any specific locale at ship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