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HCI Paper — Consolidated (1996–2000 Constraints, Market-Agnostic)</w:t>
      </w:r>
    </w:p>
    <w:p>
      <w:r>
        <w:t>Sections 1–3 with KLM Appendix (A), Methods &amp; Metrics (B), and new templates (C–E).</w:t>
      </w:r>
    </w:p>
    <w:p>
      <w:pPr>
        <w:pStyle w:val="Heading1"/>
      </w:pPr>
      <w:r>
        <w:t>Table of Contents</w:t>
      </w:r>
    </w:p>
    <w:p>
      <w:fldSimple w:instr="TOC \o &quot;1-3&quot; \h \z \u"/>
    </w:p>
    <w:p>
      <w:pPr>
        <w:pStyle w:val="Heading1"/>
      </w:pPr>
      <w:r>
        <w:t>Section 1 — Internationalization Posture (1996–2000, Market-Agnostic)</w:t>
      </w:r>
    </w:p>
    <w:p>
      <w:pPr>
        <w:pStyle w:val="Heading2"/>
      </w:pPr>
      <w:r>
        <w:t>1(a) Internationalization posture (no specific locale)</w:t>
      </w:r>
    </w:p>
    <w:p>
      <w:pPr>
        <w:pStyle w:val="ListBullet"/>
      </w:pPr>
      <w:r>
        <w:t>Baseline: Ship English UI on Windows 95/98/NT4/2000. Treat other locales as optional plug-ins.</w:t>
      </w:r>
    </w:p>
    <w:p>
      <w:pPr>
        <w:pStyle w:val="ListBullet"/>
      </w:pPr>
      <w:r>
        <w:t>Text &amp; resources: Externalize all strings to Win32 resource DLLs; avoid text baked into bitmaps. Enforce string-length budgets for 800×600 CRTs.</w:t>
      </w:r>
    </w:p>
    <w:p>
      <w:pPr>
        <w:pStyle w:val="ListBullet"/>
      </w:pPr>
      <w:r>
        <w:t>Encoding strategy: On Win9x use code-page aware (ANSI) paths and avoid lossy round-trips; on NT4/2000 prefer Unicode (UTF-16) internally and provide ANSI shims for Win9x.</w:t>
      </w:r>
    </w:p>
    <w:p>
      <w:pPr>
        <w:pStyle w:val="ListBullet"/>
      </w:pPr>
      <w:r>
        <w:t>Locale surfaces: Drive date/number/time formats via LCID at runtime; respect OS short-date and 24h/12h settings; avoid culture-bound abbreviations in the UI.</w:t>
      </w:r>
    </w:p>
    <w:p>
      <w:pPr>
        <w:pStyle w:val="ListBullet"/>
      </w:pPr>
      <w:r>
        <w:t>Keyboard/shortcuts: Avoid Alt+letter collisions; validate accelerators on US layout and leave room for later remapping.</w:t>
      </w:r>
    </w:p>
    <w:p>
      <w:pPr>
        <w:pStyle w:val="ListBullet"/>
      </w:pPr>
      <w:r>
        <w:t>QA matrix: Smoke on Win98/NT4; regression on Win2000. Validate Common Controls v5/v6 rendering, font fallback, and truncation at 800×600.</w:t>
      </w:r>
    </w:p>
    <w:p>
      <w:pPr>
        <w:pStyle w:val="Heading2"/>
      </w:pPr>
      <w:r>
        <w:t>1(b) Interaction style of the dialog</w:t>
      </w:r>
    </w:p>
    <w:p>
      <w:pPr>
        <w:pStyle w:val="ListBullet"/>
      </w:pPr>
      <w:r>
        <w:t>Retain direct manipulation + form dialogs (tabs/panes) with OK/Apply/Cancel semantics and standard Win95/98 widgets.</w:t>
      </w:r>
    </w:p>
    <w:p>
      <w:pPr>
        <w:pStyle w:val="ListBullet"/>
      </w:pPr>
      <w:r>
        <w:t>Rationale: Period familiarity beats novelty; standard controls lower cognitive load and reduce documentation/training overhead.</w:t>
      </w:r>
    </w:p>
    <w:p>
      <w:pPr>
        <w:pStyle w:val="Heading2"/>
      </w:pPr>
      <w:r>
        <w:t>1(c) What stays/changes without a target locale</w:t>
      </w:r>
    </w:p>
    <w:p>
      <w:pPr>
        <w:pStyle w:val="ListBullet"/>
      </w:pPr>
      <w:r>
        <w:t>Stays: Layout, control grouping, tab order, and Windows-terminology aligned to platform guidelines of the era.</w:t>
      </w:r>
    </w:p>
    <w:p>
      <w:pPr>
        <w:pStyle w:val="ListBullet"/>
      </w:pPr>
      <w:r>
        <w:t>Changes: Strip locale-specific guidance; keep i18n hooks (resource DLLs, LCID formatting, accelerator remapping) so future markets can be added without redesign.</w:t>
      </w:r>
    </w:p>
    <w:p>
      <w:pPr>
        <w:pStyle w:val="Heading1"/>
      </w:pPr>
      <w:r>
        <w:t>Section 2 — Usability Evaluation &amp; Choice Architecture</w:t>
      </w:r>
    </w:p>
    <w:p>
      <w:pPr>
        <w:pStyle w:val="Heading2"/>
      </w:pPr>
      <w:r>
        <w:t>2(a) Error Counts vs. Learning Curve — Decision Framework</w:t>
      </w:r>
    </w:p>
    <w:p>
      <w:r>
        <w:t>Operating Principle: Optimize for rate of improvement over time, not zero errors on first touch. In a Win95/98/NT4/2000 context, novice users expect minor missteps; what matters is how quickly errors decay between sessions.</w:t>
      </w:r>
    </w:p>
    <w:p>
      <w:r>
        <w:t>KPIs to instrument:</w:t>
      </w:r>
    </w:p>
    <w:p>
      <w:pPr>
        <w:pStyle w:val="ListBullet"/>
      </w:pPr>
      <w:r>
        <w:t>T1: First-attempt task time; T3: third-attempt task time; ΔT = T1–T3 (higher is better).</w:t>
      </w:r>
    </w:p>
    <w:p>
      <w:pPr>
        <w:pStyle w:val="ListBullet"/>
      </w:pPr>
      <w:r>
        <w:t>Error Decay Index: e1/e3 (ratio of first-session to third-session errors). Target ≤ 0.4.</w:t>
      </w:r>
    </w:p>
    <w:p>
      <w:pPr>
        <w:pStyle w:val="ListBullet"/>
      </w:pPr>
      <w:r>
        <w:t>Assist Reliance: help invocations/session (CHM opens, tooltip dwell ≥ 1.5s). Downward trend expected.</w:t>
      </w:r>
    </w:p>
    <w:p>
      <w:pPr>
        <w:pStyle w:val="ListBullet"/>
      </w:pPr>
      <w:r>
        <w:t>Retention: task success without prompts after 72 hours.</w:t>
      </w:r>
    </w:p>
    <w:p>
      <w:r>
        <w:t>Policy: Ship the design that demonstrates faster error decay and lower assist reliance in longitudinal tests, even if its initial error count is marginally higher than an alternative.</w:t>
      </w:r>
    </w:p>
    <w:p>
      <w:pPr>
        <w:pStyle w:val="Heading2"/>
      </w:pPr>
      <w:r>
        <w:t>2(b) GOMS/KLM — Period-Correct Methods and Assumptions</w:t>
      </w:r>
    </w:p>
    <w:p>
      <w:r>
        <w:t>Use GOMS for qualitative method selection and KLM (Keystroke-Level Model) for quantitative time estimates. Assume late-90s operator times: K=0.20s, P=1.10s, B=0.10s, R=0.10s, H=0.40s, M=1.35s. Model common file tasks (create, rename, move) in Explorer with context-menu and menu-bar variants.</w:t>
      </w:r>
    </w:p>
    <w:p>
      <w:r>
        <w:t>Selection Rules:</w:t>
      </w:r>
    </w:p>
    <w:p>
      <w:pPr>
        <w:pStyle w:val="ListBullet"/>
      </w:pPr>
      <w:r>
        <w:t>If user is already in Explorer, context-menu method dominates due to fewer homing and mode switches.</w:t>
      </w:r>
    </w:p>
    <w:p>
      <w:pPr>
        <w:pStyle w:val="ListBullet"/>
      </w:pPr>
      <w:r>
        <w:t>Menu-bar method preferred in keyboard-centric workflows on NT4/2000 with consistent Alt-accelerators.</w:t>
      </w:r>
    </w:p>
    <w:p>
      <w:pPr>
        <w:pStyle w:val="ListBullet"/>
      </w:pPr>
      <w:r>
        <w:t>Avoid novel widgets without established KLM parameters unless validated via timed studies.</w:t>
      </w:r>
    </w:p>
    <w:p>
      <w:pPr>
        <w:pStyle w:val="Heading2"/>
      </w:pPr>
      <w:r>
        <w:t>2(c) A/B Time Series — When to Choose the Slower Option</w:t>
      </w:r>
    </w:p>
    <w:p>
      <w:r>
        <w:t>If Design B is consistently faster across sessions, default to B. Override only when task risk profile, discoverability, or batch error cost justify a slower but safer Design A. Document the trade-off with explicit deltas.</w:t>
      </w:r>
    </w:p>
    <w:p>
      <w:pPr>
        <w:pStyle w:val="Heading1"/>
      </w:pPr>
      <w:r>
        <w:t>Section 3 — Batch File Converter UX (Single-Window Win32)</w:t>
      </w:r>
    </w:p>
    <w:p>
      <w:pPr>
        <w:pStyle w:val="Heading2"/>
      </w:pPr>
      <w:r>
        <w:t>3(b) Interaction Strategy (Keep It Simple)</w:t>
      </w:r>
    </w:p>
    <w:p>
      <w:r>
        <w:t>Primary surface: direct manipulation in a single-window Win32 GUI. Users build a queue, choose format/output, and execute. Avoid mandatory wizards for routine runs.</w:t>
      </w:r>
    </w:p>
    <w:p>
      <w:r>
        <w:t>Core UI elements:</w:t>
      </w:r>
    </w:p>
    <w:p>
      <w:pPr>
        <w:pStyle w:val="ListBullet"/>
      </w:pPr>
      <w:r>
        <w:t>Multi-select File Open dialog → listbox queue with columns (Name, Size, Source Path, Status).</w:t>
      </w:r>
    </w:p>
    <w:p>
      <w:pPr>
        <w:pStyle w:val="ListBullet"/>
      </w:pPr>
      <w:r>
        <w:t>Toolbar: Add, Remove, Move Up/Down, Output Folder, Convert, Stop.</w:t>
      </w:r>
    </w:p>
    <w:p>
      <w:pPr>
        <w:pStyle w:val="ListBullet"/>
      </w:pPr>
      <w:r>
        <w:t>Menu + accelerators: File (Alt+F), Edit (Alt+E), View (Alt+V), Help (F1).</w:t>
      </w:r>
    </w:p>
    <w:p>
      <w:pPr>
        <w:pStyle w:val="ListBullet"/>
      </w:pPr>
      <w:r>
        <w:t>Status bar with progress and error count; log panel toggled via View.</w:t>
      </w:r>
    </w:p>
    <w:p>
      <w:r>
        <w:t>Power paths:</w:t>
      </w:r>
    </w:p>
    <w:p>
      <w:pPr>
        <w:pStyle w:val="ListBullet"/>
      </w:pPr>
      <w:r>
        <w:t>Drag-and-drop onto the queue list.</w:t>
      </w:r>
    </w:p>
    <w:p>
      <w:pPr>
        <w:pStyle w:val="ListBullet"/>
      </w:pPr>
      <w:r>
        <w:t>Function keys: F2 rename, F5 convert, Esc cancel.</w:t>
      </w:r>
    </w:p>
    <w:p>
      <w:pPr>
        <w:pStyle w:val="ListBullet"/>
      </w:pPr>
      <w:r>
        <w:t>Right-click context menu on queue items.</w:t>
      </w:r>
    </w:p>
    <w:p>
      <w:r>
        <w:t>De-prioritize:</w:t>
      </w:r>
    </w:p>
    <w:p>
      <w:pPr>
        <w:pStyle w:val="ListBullet"/>
      </w:pPr>
      <w:r>
        <w:t>Voice input (accuracy/training overhead circa 1999).</w:t>
      </w:r>
    </w:p>
    <w:p>
      <w:pPr>
        <w:pStyle w:val="ListBullet"/>
      </w:pPr>
      <w:r>
        <w:t>Modal wizards for routine batch runs (increase friction, limit flexibility).</w:t>
      </w:r>
    </w:p>
    <w:p>
      <w:pPr>
        <w:pStyle w:val="Heading2"/>
      </w:pPr>
      <w:r>
        <w:t>3(c) User Variability — Practical Accommodations</w:t>
      </w:r>
    </w:p>
    <w:p>
      <w:pPr>
        <w:pStyle w:val="ListBullet"/>
      </w:pPr>
      <w:r>
        <w:t>Accessibility: full keyboard navigation with clear Tab order; respect system high-contrast themes; no text baked into bitmaps.</w:t>
      </w:r>
    </w:p>
    <w:p>
      <w:pPr>
        <w:pStyle w:val="ListBullet"/>
      </w:pPr>
      <w:r>
        <w:t>Motor precision: larger click targets (≥ 24 px at 96 DPI) and sticky selections for low-DPI mice.</w:t>
      </w:r>
    </w:p>
    <w:p>
      <w:pPr>
        <w:pStyle w:val="ListBullet"/>
      </w:pPr>
      <w:r>
        <w:t>Experience spectrum: surface tooltips and CHM topics; avoid jargon in error messages; provide safe defaults and reversible operations.</w:t>
      </w:r>
    </w:p>
    <w:p>
      <w:pPr>
        <w:pStyle w:val="Heading1"/>
      </w:pPr>
      <w:r>
        <w:t>Appendix A — KLM Time Estimate (Folder Creation, Windows 98 Explorer)</w:t>
      </w:r>
    </w:p>
    <w:p>
      <w:r>
        <w:t>Method A (Context menu). Operators: Keystroke (K=0.20s), Point (P=1.10s), Button Click (B=0.10s), Right-Click (R=0.10s), Homing (H=0.40s), Mental prep (M=1.35s).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Operator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Unit Time (s)</w:t>
            </w:r>
          </w:p>
        </w:tc>
        <w:tc>
          <w:tcPr>
            <w:tcW w:type="dxa" w:w="2160"/>
          </w:tcPr>
          <w:p>
            <w:r>
              <w:t>Subtotal (s)</w:t>
            </w:r>
          </w:p>
        </w:tc>
      </w:tr>
      <w:tr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1.35</w:t>
            </w:r>
          </w:p>
        </w:tc>
        <w:tc>
          <w:tcPr>
            <w:tcW w:type="dxa" w:w="2160"/>
          </w:tcPr>
          <w:p>
            <w:r>
              <w:t>1.35</w:t>
            </w:r>
          </w:p>
        </w:tc>
      </w:tr>
      <w:tr>
        <w:tc>
          <w:tcPr>
            <w:tcW w:type="dxa" w:w="2160"/>
          </w:tcPr>
          <w:p>
            <w:r>
              <w:t>P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1.10</w:t>
            </w:r>
          </w:p>
        </w:tc>
      </w:tr>
      <w:tr>
        <w:tc>
          <w:tcPr>
            <w:tcW w:type="dxa" w:w="2160"/>
          </w:tcPr>
          <w:p>
            <w:r>
              <w:t>B (select)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R (open context)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B (New)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B (Folder)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K (type name, ~8 chars)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1.60</w:t>
            </w:r>
          </w:p>
        </w:tc>
      </w:tr>
      <w:tr>
        <w:tc>
          <w:tcPr>
            <w:tcW w:type="dxa" w:w="2160"/>
          </w:tcPr>
          <w:p>
            <w:r>
              <w:t>K (Enter)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4.65</w:t>
            </w:r>
          </w:p>
        </w:tc>
      </w:tr>
    </w:tbl>
    <w:p>
      <w:r>
        <w:t>Notes: Times reflect late-1990s KLM defaults; actuals vary by device and user motor precision.</w:t>
      </w:r>
    </w:p>
    <w:p>
      <w:pPr>
        <w:pStyle w:val="Heading1"/>
      </w:pPr>
      <w:r>
        <w:t>Appendix B — Methods &amp; Metrics (One-Page Playbook)</w:t>
      </w:r>
    </w:p>
    <w:p>
      <w:r>
        <w:t>Scope: Late-90s Windows desktop usability studies for novice–intermediate users.</w:t>
      </w:r>
    </w:p>
    <w:p>
      <w:r>
        <w:t>Study Design:</w:t>
      </w:r>
    </w:p>
    <w:p>
      <w:pPr>
        <w:pStyle w:val="ListBullet"/>
      </w:pPr>
      <w:r>
        <w:t>Sampling: 8–12 participants, mix of novice/intermediate; 2 sessions each (Day 0, Day 3).</w:t>
      </w:r>
    </w:p>
    <w:p>
      <w:pPr>
        <w:pStyle w:val="ListBullet"/>
      </w:pPr>
      <w:r>
        <w:t>Environment: 800×600, 96 DPI, Win98/NT4 hardware with low-DPI mice; CHM help installed.</w:t>
      </w:r>
    </w:p>
    <w:p>
      <w:pPr>
        <w:pStyle w:val="ListBullet"/>
      </w:pPr>
      <w:r>
        <w:t>Tasks: Create/Rename/Move files, Batch convert queue (5–20 files), Configure dialog settings.</w:t>
      </w:r>
    </w:p>
    <w:p>
      <w:r>
        <w:t>Instrumentation:</w:t>
      </w:r>
    </w:p>
    <w:p>
      <w:pPr>
        <w:pStyle w:val="ListBullet"/>
      </w:pPr>
      <w:r>
        <w:t>Timing via lab logs; screen capture optional; key events timestamped (open, commit, error prompts).</w:t>
      </w:r>
    </w:p>
    <w:p>
      <w:pPr>
        <w:pStyle w:val="ListBullet"/>
      </w:pPr>
      <w:r>
        <w:t>Event taxonomy: benign vs. severe errors; assist events (CHM open, tooltip dwell ≥ 1.5s).</w:t>
      </w:r>
    </w:p>
    <w:p>
      <w:pPr>
        <w:pStyle w:val="ListBullet"/>
      </w:pPr>
      <w:r>
        <w:t>Metrics: ΔT (T1–T3), Error Decay Index (e1/e3), Assist Reliance trend, 72h retention.</w:t>
      </w:r>
    </w:p>
    <w:p>
      <w:r>
        <w:t>Decision Rules:</w:t>
      </w:r>
    </w:p>
    <w:p>
      <w:pPr>
        <w:pStyle w:val="ListBullet"/>
      </w:pPr>
      <w:r>
        <w:t>Prefer designs with faster error decay and fewer severe errors over marginal first-use speed gains.</w:t>
      </w:r>
    </w:p>
    <w:p>
      <w:pPr>
        <w:pStyle w:val="ListBullet"/>
      </w:pPr>
      <w:r>
        <w:t>Escalate to redesign only if retention &lt; 80% or severe errors &gt; 5% of attempts by session 2.</w:t>
      </w:r>
    </w:p>
    <w:p>
      <w:pPr>
        <w:pStyle w:val="ListBullet"/>
      </w:pPr>
      <w:r>
        <w:t>Document trade-offs explicitly in release notes with numeric deltas.</w:t>
      </w:r>
    </w:p>
    <w:p>
      <w:pPr>
        <w:pStyle w:val="Heading1"/>
      </w:pPr>
      <w:r>
        <w:t>Appendix C — A/B Results Template (Time Series + Error Decay)</w:t>
      </w:r>
    </w:p>
    <w:p>
      <w:r>
        <w:t>Use this template to summarize longitudinal outcomes over two sessions (Day 0, Day 3).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Task</w:t>
            </w:r>
          </w:p>
        </w:tc>
        <w:tc>
          <w:tcPr>
            <w:tcW w:type="dxa" w:w="960"/>
          </w:tcPr>
          <w:p>
            <w:r>
              <w:t>Design</w:t>
            </w:r>
          </w:p>
        </w:tc>
        <w:tc>
          <w:tcPr>
            <w:tcW w:type="dxa" w:w="960"/>
          </w:tcPr>
          <w:p>
            <w:r>
              <w:t>T1 (s)</w:t>
            </w:r>
          </w:p>
        </w:tc>
        <w:tc>
          <w:tcPr>
            <w:tcW w:type="dxa" w:w="960"/>
          </w:tcPr>
          <w:p>
            <w:r>
              <w:t>T3 (s)</w:t>
            </w:r>
          </w:p>
        </w:tc>
        <w:tc>
          <w:tcPr>
            <w:tcW w:type="dxa" w:w="960"/>
          </w:tcPr>
          <w:p>
            <w:r>
              <w:t>ΔT</w:t>
            </w:r>
          </w:p>
        </w:tc>
        <w:tc>
          <w:tcPr>
            <w:tcW w:type="dxa" w:w="960"/>
          </w:tcPr>
          <w:p>
            <w:r>
              <w:t>Errors S1</w:t>
            </w:r>
          </w:p>
        </w:tc>
        <w:tc>
          <w:tcPr>
            <w:tcW w:type="dxa" w:w="960"/>
          </w:tcPr>
          <w:p>
            <w:r>
              <w:t>Errors S2</w:t>
            </w:r>
          </w:p>
        </w:tc>
        <w:tc>
          <w:tcPr>
            <w:tcW w:type="dxa" w:w="960"/>
          </w:tcPr>
          <w:p>
            <w:r>
              <w:t>Error Decay</w:t>
            </w:r>
          </w:p>
        </w:tc>
        <w:tc>
          <w:tcPr>
            <w:tcW w:type="dxa" w:w="960"/>
          </w:tcPr>
          <w:p>
            <w:r>
              <w:t>Assist Δ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r>
        <w:t>Decision Note: Ship the variant with faster ΔT, lower severe errors, and improved retention.</w:t>
      </w:r>
    </w:p>
    <w:p>
      <w:pPr>
        <w:pStyle w:val="Heading1"/>
      </w:pPr>
      <w:r>
        <w:t>Appendix D — Risk Register (Severe Error Classes)</w:t>
      </w:r>
    </w:p>
    <w:p>
      <w:r>
        <w:t>Track high-cost errors and mitigations.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Risk ID</w:t>
            </w:r>
          </w:p>
        </w:tc>
        <w:tc>
          <w:tcPr>
            <w:tcW w:type="dxa" w:w="1440"/>
          </w:tcPr>
          <w:p>
            <w:r>
              <w:t>Error Definition (Severe)</w:t>
            </w:r>
          </w:p>
        </w:tc>
        <w:tc>
          <w:tcPr>
            <w:tcW w:type="dxa" w:w="1440"/>
          </w:tcPr>
          <w:p>
            <w:r>
              <w:t>Trigger/Context</w:t>
            </w:r>
          </w:p>
        </w:tc>
        <w:tc>
          <w:tcPr>
            <w:tcW w:type="dxa" w:w="1440"/>
          </w:tcPr>
          <w:p>
            <w:r>
              <w:t>Mitigation</w:t>
            </w:r>
          </w:p>
        </w:tc>
        <w:tc>
          <w:tcPr>
            <w:tcW w:type="dxa" w:w="1440"/>
          </w:tcPr>
          <w:p>
            <w:r>
              <w:t>Residual Risk</w:t>
            </w:r>
          </w:p>
        </w:tc>
        <w:tc>
          <w:tcPr>
            <w:tcW w:type="dxa" w:w="1440"/>
          </w:tcPr>
          <w:p>
            <w:r>
              <w:t>Owner / Status</w:t>
            </w:r>
          </w:p>
        </w:tc>
      </w:tr>
      <w:tr>
        <w:tc>
          <w:tcPr>
            <w:tcW w:type="dxa" w:w="1440"/>
          </w:tcPr>
          <w:p>
            <w:r>
              <w:t>R-01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R-02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R-03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R-04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R-05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R-06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R-07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R-08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Heading1"/>
      </w:pPr>
      <w:r>
        <w:t>Appendix E — Study Notes (Methods &amp; Metrics Capture)</w:t>
      </w:r>
    </w:p>
    <w:p>
      <w:r>
        <w:t>Use during sessions to log instrumentation and anomalies.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Participant</w:t>
            </w:r>
          </w:p>
        </w:tc>
        <w:tc>
          <w:tcPr>
            <w:tcW w:type="dxa" w:w="1234"/>
          </w:tcPr>
          <w:p>
            <w:r>
              <w:t>Design</w:t>
            </w:r>
          </w:p>
        </w:tc>
        <w:tc>
          <w:tcPr>
            <w:tcW w:type="dxa" w:w="1234"/>
          </w:tcPr>
          <w:p>
            <w:r>
              <w:t>Task</w:t>
            </w:r>
          </w:p>
        </w:tc>
        <w:tc>
          <w:tcPr>
            <w:tcW w:type="dxa" w:w="1234"/>
          </w:tcPr>
          <w:p>
            <w:r>
              <w:t>Events</w:t>
            </w:r>
          </w:p>
        </w:tc>
        <w:tc>
          <w:tcPr>
            <w:tcW w:type="dxa" w:w="1234"/>
          </w:tcPr>
          <w:p>
            <w:r>
              <w:t>Observations</w:t>
            </w:r>
          </w:p>
        </w:tc>
        <w:tc>
          <w:tcPr>
            <w:tcW w:type="dxa" w:w="1234"/>
          </w:tcPr>
          <w:p>
            <w:r>
              <w:t>Follow-ups</w:t>
            </w:r>
          </w:p>
        </w:tc>
        <w:tc>
          <w:tcPr>
            <w:tcW w:type="dxa" w:w="1234"/>
          </w:tcPr>
          <w:p>
            <w:r>
              <w:t>Timestamp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p>
      <w:pPr>
        <w:pStyle w:val="Heading1"/>
      </w:pPr>
      <w:r>
        <w:t>Appendix F — Win9x/NT4 Test Matrix Reference</w:t>
      </w:r>
    </w:p>
    <w:p>
      <w:r>
        <w:t>See the companion spreadsheet “HCI_Test_Matrix_Win9x_NT4.xlsx” for the full device × DPI × Common Controls coverage. Record results for font fallback, truncation at 800×600, accelerators, and CHM accessibility.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