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HCI Modernization Kit — Windows 11 + KDE Plasma + GNOME (2025 posture)</w:t>
      </w:r>
    </w:p>
    <w:p>
      <w:r>
        <w:t>Drop-in replacement for Sections 1–3, updated metrics, and cross-desktop test templates.</w:t>
      </w:r>
    </w:p>
    <w:p>
      <w:pPr>
        <w:pStyle w:val="Heading1"/>
      </w:pPr>
      <w:r>
        <w:t>Section 1 — Internationalization &amp; System Integration (2025, Cross-Desktop)</w:t>
      </w:r>
    </w:p>
    <w:p>
      <w:pPr>
        <w:pStyle w:val="Heading2"/>
      </w:pPr>
      <w:r>
        <w:t>1(a) Language, Encoding, Layout</w:t>
      </w:r>
    </w:p>
    <w:p>
      <w:pPr>
        <w:pStyle w:val="ListBullet"/>
      </w:pPr>
      <w:r>
        <w:t>Encoding: UTF‑8 end-to-end (storage, IPC, network). Use ICU/CLDR for collation, casing, transliteration.</w:t>
      </w:r>
    </w:p>
    <w:p>
      <w:pPr>
        <w:pStyle w:val="ListBullet"/>
      </w:pPr>
      <w:r>
        <w:t>BiDi &amp; Complex Text: Enable Unicode BiDi and shaping (Arabic, Hebrew, Indic). Verify mixed-direction strings in fields, lists, dialogs.</w:t>
      </w:r>
    </w:p>
    <w:p>
      <w:pPr>
        <w:pStyle w:val="ListBullet"/>
      </w:pPr>
      <w:r>
        <w:t>Input Methods: Test IMEs (CJK), dead keys, compose sequences, emoji. Ensure fields handle surrogate pairs and variation selectors.</w:t>
      </w:r>
    </w:p>
    <w:p>
      <w:pPr>
        <w:pStyle w:val="ListBullet"/>
      </w:pPr>
      <w:r>
        <w:t>Plural/Format: Use message catalogs with plural rules (CLDR). Avoid string concatenation; use parameterized messages.</w:t>
      </w:r>
    </w:p>
    <w:p>
      <w:pPr>
        <w:pStyle w:val="Heading2"/>
      </w:pPr>
      <w:r>
        <w:t>1(b) Theming, Colors, and Modes</w:t>
      </w:r>
    </w:p>
    <w:p>
      <w:pPr>
        <w:pStyle w:val="ListBullet"/>
      </w:pPr>
      <w:r>
        <w:t>Dark/Light &amp; High Contrast: Auto-follow OS theme; provide explicit override. Respect forced-colors/high-contrast modes.</w:t>
      </w:r>
    </w:p>
    <w:p>
      <w:pPr>
        <w:pStyle w:val="ListBullet"/>
      </w:pPr>
      <w:r>
        <w:t>Accent &amp; Transparency: On Windows 11, adopt Fluent tokens; on KDE/GNOME, inherit system palette without hard-coding.</w:t>
      </w:r>
    </w:p>
    <w:p>
      <w:pPr>
        <w:pStyle w:val="ListBullet"/>
      </w:pPr>
      <w:r>
        <w:t>Iconography: Provide vector assets (SVG/ICO) and symbolic icons where supported (GNOME).</w:t>
      </w:r>
    </w:p>
    <w:p>
      <w:pPr>
        <w:pStyle w:val="Heading2"/>
      </w:pPr>
      <w:r>
        <w:t>1(c) Layout, Scaling, and Input</w:t>
      </w:r>
    </w:p>
    <w:p>
      <w:pPr>
        <w:pStyle w:val="ListBullet"/>
      </w:pPr>
      <w:r>
        <w:t>HiDPI &amp; Mixed-DPI: Verify 100–300% scale; handle per-monitor DPI awareness on Win11 and fractional scaling on Wayland.</w:t>
      </w:r>
    </w:p>
    <w:p>
      <w:pPr>
        <w:pStyle w:val="ListBullet"/>
      </w:pPr>
      <w:r>
        <w:t>Touch/Trackpad: Support touch targets ≥ 40 px and common gestures (two-finger scroll/zoom where applicable).</w:t>
      </w:r>
    </w:p>
    <w:p>
      <w:pPr>
        <w:pStyle w:val="ListBullet"/>
      </w:pPr>
      <w:r>
        <w:t>Keyboard Access: Full accelerator coverage; predictable Tab order; access keys surfaced in menus/dialogs.</w:t>
      </w:r>
    </w:p>
    <w:p>
      <w:pPr>
        <w:pStyle w:val="ListBullet"/>
      </w:pPr>
      <w:r>
        <w:t>Assistive Tech: Screen readers (Narrator/NVDA on Win11; Orca on GNOME), AT‑SPI on Linux; live region updates and focus visibility.</w:t>
      </w:r>
    </w:p>
    <w:p>
      <w:pPr>
        <w:pStyle w:val="Heading2"/>
      </w:pPr>
      <w:r>
        <w:t>1(d) Files, Portals, and Sandboxing</w:t>
      </w:r>
    </w:p>
    <w:p>
      <w:pPr>
        <w:pStyle w:val="ListBullet"/>
      </w:pPr>
      <w:r>
        <w:t>Windows: Prefer modern file pickers; support MSIX/AppContainer storage locations.</w:t>
      </w:r>
    </w:p>
    <w:p>
      <w:pPr>
        <w:pStyle w:val="ListBullet"/>
      </w:pPr>
      <w:r>
        <w:t>Linux: Use xdg-desktop-portal for file open/save, sandbox breaks, and default apps; verify on Flatpak/Snap/AppImage where relevant.</w:t>
      </w:r>
    </w:p>
    <w:p>
      <w:pPr>
        <w:pStyle w:val="Heading2"/>
      </w:pPr>
      <w:r>
        <w:t>1(e) Notifications &amp; System Services</w:t>
      </w:r>
    </w:p>
    <w:p>
      <w:pPr>
        <w:pStyle w:val="ListBullet"/>
      </w:pPr>
      <w:r>
        <w:t>Notifications: Win11 Action Center; GNOME/KDE notifications. Provide action buttons and respect Do Not Disturb.</w:t>
      </w:r>
    </w:p>
    <w:p>
      <w:pPr>
        <w:pStyle w:val="ListBullet"/>
      </w:pPr>
      <w:r>
        <w:t>Power &amp; Background: Respect battery saver modes; pause heavy work on low-power signals; expose progress to OS if supported.</w:t>
      </w:r>
    </w:p>
    <w:p>
      <w:pPr>
        <w:pStyle w:val="Heading1"/>
      </w:pPr>
      <w:r>
        <w:t>Section 2 — Metrics &amp; Decision Framework (2025)</w:t>
      </w:r>
    </w:p>
    <w:p>
      <w:pPr>
        <w:pStyle w:val="Heading2"/>
      </w:pPr>
      <w:r>
        <w:t>2(a) Core KPIs</w:t>
      </w:r>
    </w:p>
    <w:p>
      <w:pPr>
        <w:pStyle w:val="ListBullet"/>
      </w:pPr>
      <w:r>
        <w:t>ΔT (T1–T3) and Error Decay (e1/e3) across input modalities (mouse, touch, keyboard).</w:t>
      </w:r>
    </w:p>
    <w:p>
      <w:pPr>
        <w:pStyle w:val="ListBullet"/>
      </w:pPr>
      <w:r>
        <w:t>Mode Robustness: success rate parity between Light vs Dark; 100% vs 200% scale; Wayland vs Win11 multi‑DPI.</w:t>
      </w:r>
    </w:p>
    <w:p>
      <w:pPr>
        <w:pStyle w:val="ListBullet"/>
      </w:pPr>
      <w:r>
        <w:t>A11y Success: task success with screen reader enabled; focus visibility score; shortcut discoverability.</w:t>
      </w:r>
    </w:p>
    <w:p>
      <w:pPr>
        <w:pStyle w:val="ListBullet"/>
      </w:pPr>
      <w:r>
        <w:t>Stability UX: zero-crash tolerance in file dialogs/portals; resilience to permission denials.</w:t>
      </w:r>
    </w:p>
    <w:p>
      <w:pPr>
        <w:pStyle w:val="Heading2"/>
      </w:pPr>
      <w:r>
        <w:t>2(b) Modern KLM Operator Times (reference)</w:t>
      </w:r>
    </w:p>
    <w:p>
      <w:r>
        <w:t>Use KLM for baseline estimates; adjust for touch. Reference operators (desktop, mouse/keyboard): K=0.18s, P=1.0s, B=0.10s, H=0.35s, M=1.1s. For touch: Tap=0.16s, Point(move)=0.9s (device variance expected).</w:t>
      </w:r>
    </w:p>
    <w:p>
      <w:pPr>
        <w:pStyle w:val="Heading2"/>
      </w:pPr>
      <w:r>
        <w:t>2(c) Override Rule</w:t>
      </w:r>
    </w:p>
    <w:p>
      <w:r>
        <w:t>Prefer variants with robust parity across themes/scales/compositors even if slightly slower on first-use. Log explicit trade-offs and mitigation if a faster design degrades under HI‑DPI or dark mode.</w:t>
      </w:r>
    </w:p>
    <w:p>
      <w:pPr>
        <w:pStyle w:val="Heading1"/>
      </w:pPr>
      <w:r>
        <w:t>Section 3 — Batch File Converter UX (Cross-Desktop)</w:t>
      </w:r>
    </w:p>
    <w:p>
      <w:pPr>
        <w:pStyle w:val="ListBullet"/>
      </w:pPr>
      <w:r>
        <w:t>Single-window design remains optimal. Respect platform controls: WinUI/Fluent (Windows), Qt/GTK patterns (Linux).</w:t>
      </w:r>
    </w:p>
    <w:p>
      <w:pPr>
        <w:pStyle w:val="ListBullet"/>
      </w:pPr>
      <w:r>
        <w:t>File Access: Always route open/save via native pickers/portals; show origin and destination clearly; support drag‑drop between sandboxes where permitted.</w:t>
      </w:r>
    </w:p>
    <w:p>
      <w:pPr>
        <w:pStyle w:val="ListBullet"/>
      </w:pPr>
      <w:r>
        <w:t>Theme/Scale: Live-respond to theme/scale changes without restart; ensure list/table rows reflow cleanly.</w:t>
      </w:r>
    </w:p>
    <w:p>
      <w:pPr>
        <w:pStyle w:val="ListBullet"/>
      </w:pPr>
      <w:r>
        <w:t>Power/Background: Long conversions run as cancellable jobs with progress in system tray/notification area; persist state on app restarts.</w:t>
      </w:r>
    </w:p>
    <w:p>
      <w:pPr>
        <w:pStyle w:val="Heading1"/>
      </w:pPr>
      <w:r>
        <w:t>Appendix A — KLM Examples (Desktop vs Touch)</w:t>
      </w:r>
    </w:p>
    <w:p>
      <w:r>
        <w:t>Example: Rename file (desktop): P → B (select) → F2 (K) → type (K×n) → Enter (K). Touch variant uses Tap and virtual keyboard keystrokes.</w:t>
      </w:r>
    </w:p>
    <w:p>
      <w:pPr>
        <w:pStyle w:val="Heading1"/>
      </w:pPr>
      <w:r>
        <w:t>Appendix B — Methods &amp; Metrics (2025 Playbook)</w:t>
      </w:r>
    </w:p>
    <w:p>
      <w:pPr>
        <w:pStyle w:val="ListBullet"/>
      </w:pPr>
      <w:r>
        <w:t>Participants: 10–16; include screen-reader users and non‑Latin first-language users.</w:t>
      </w:r>
    </w:p>
    <w:p>
      <w:pPr>
        <w:pStyle w:val="ListBullet"/>
      </w:pPr>
      <w:r>
        <w:t>Environments: Win11 (light/dark; 100/200%); GNOME &amp; KDE on Wayland (fractional scaling 125/150/200%).</w:t>
      </w:r>
    </w:p>
    <w:p>
      <w:pPr>
        <w:pStyle w:val="ListBullet"/>
      </w:pPr>
      <w:r>
        <w:t>Instrumentation: event logs + screen capture; a11y tree snapshots; theme/scale toggles mid‑task.</w:t>
      </w:r>
    </w:p>
    <w:p>
      <w:pPr>
        <w:pStyle w:val="Heading1"/>
      </w:pPr>
      <w:r>
        <w:t>Appendix C — A/B Results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Task</w:t>
            </w:r>
          </w:p>
        </w:tc>
        <w:tc>
          <w:tcPr>
            <w:tcW w:type="dxa" w:w="785"/>
          </w:tcPr>
          <w:p>
            <w:r>
              <w:t>Design</w:t>
            </w:r>
          </w:p>
        </w:tc>
        <w:tc>
          <w:tcPr>
            <w:tcW w:type="dxa" w:w="785"/>
          </w:tcPr>
          <w:p>
            <w:r>
              <w:t>Device</w:t>
            </w:r>
          </w:p>
        </w:tc>
        <w:tc>
          <w:tcPr>
            <w:tcW w:type="dxa" w:w="785"/>
          </w:tcPr>
          <w:p>
            <w:r>
              <w:t>Theme</w:t>
            </w:r>
          </w:p>
        </w:tc>
        <w:tc>
          <w:tcPr>
            <w:tcW w:type="dxa" w:w="785"/>
          </w:tcPr>
          <w:p>
            <w:r>
              <w:t>Scale</w:t>
            </w:r>
          </w:p>
        </w:tc>
        <w:tc>
          <w:tcPr>
            <w:tcW w:type="dxa" w:w="785"/>
          </w:tcPr>
          <w:p>
            <w:r>
              <w:t>Compositor/OS</w:t>
            </w:r>
          </w:p>
        </w:tc>
        <w:tc>
          <w:tcPr>
            <w:tcW w:type="dxa" w:w="785"/>
          </w:tcPr>
          <w:p>
            <w:r>
              <w:t>T1 (s)</w:t>
            </w:r>
          </w:p>
        </w:tc>
        <w:tc>
          <w:tcPr>
            <w:tcW w:type="dxa" w:w="785"/>
          </w:tcPr>
          <w:p>
            <w:r>
              <w:t>T3 (s)</w:t>
            </w:r>
          </w:p>
        </w:tc>
        <w:tc>
          <w:tcPr>
            <w:tcW w:type="dxa" w:w="785"/>
          </w:tcPr>
          <w:p>
            <w:r>
              <w:t>ΔT</w:t>
            </w:r>
          </w:p>
        </w:tc>
        <w:tc>
          <w:tcPr>
            <w:tcW w:type="dxa" w:w="785"/>
          </w:tcPr>
          <w:p>
            <w:r>
              <w:t>Errors S1/S2</w:t>
            </w:r>
          </w:p>
        </w:tc>
        <w:tc>
          <w:tcPr>
            <w:tcW w:type="dxa" w:w="785"/>
          </w:tcPr>
          <w:p>
            <w:r>
              <w:t>Notes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1"/>
      </w:pPr>
      <w:r>
        <w:t>Appendix D — Risk Register (Modern)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Risk ID</w:t>
            </w:r>
          </w:p>
        </w:tc>
        <w:tc>
          <w:tcPr>
            <w:tcW w:type="dxa" w:w="1440"/>
          </w:tcPr>
          <w:p>
            <w:r>
              <w:t>Failure Mode</w:t>
            </w:r>
          </w:p>
        </w:tc>
        <w:tc>
          <w:tcPr>
            <w:tcW w:type="dxa" w:w="1440"/>
          </w:tcPr>
          <w:p>
            <w:r>
              <w:t>Condition (Theme/Scale/Portal)</w:t>
            </w:r>
          </w:p>
        </w:tc>
        <w:tc>
          <w:tcPr>
            <w:tcW w:type="dxa" w:w="1440"/>
          </w:tcPr>
          <w:p>
            <w:r>
              <w:t>Mitigation</w:t>
            </w:r>
          </w:p>
        </w:tc>
        <w:tc>
          <w:tcPr>
            <w:tcW w:type="dxa" w:w="1440"/>
          </w:tcPr>
          <w:p>
            <w:r>
              <w:t>Residual Risk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R-01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R-09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R-10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1"/>
      </w:pPr>
      <w:r>
        <w:t>Appendix E — Study Notes (Cross-Desktop)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Participant</w:t>
            </w:r>
          </w:p>
        </w:tc>
        <w:tc>
          <w:tcPr>
            <w:tcW w:type="dxa" w:w="1080"/>
          </w:tcPr>
          <w:p>
            <w:r>
              <w:t>OS/Desktop</w:t>
            </w:r>
          </w:p>
        </w:tc>
        <w:tc>
          <w:tcPr>
            <w:tcW w:type="dxa" w:w="1080"/>
          </w:tcPr>
          <w:p>
            <w:r>
              <w:t>Theme/Scale</w:t>
            </w:r>
          </w:p>
        </w:tc>
        <w:tc>
          <w:tcPr>
            <w:tcW w:type="dxa" w:w="1080"/>
          </w:tcPr>
          <w:p>
            <w:r>
              <w:t>Input (Mouse/Touch/Kbd)</w:t>
            </w:r>
          </w:p>
        </w:tc>
        <w:tc>
          <w:tcPr>
            <w:tcW w:type="dxa" w:w="1080"/>
          </w:tcPr>
          <w:p>
            <w:r>
              <w:t>Events</w:t>
            </w:r>
          </w:p>
        </w:tc>
        <w:tc>
          <w:tcPr>
            <w:tcW w:type="dxa" w:w="1080"/>
          </w:tcPr>
          <w:p>
            <w:r>
              <w:t>Observations</w:t>
            </w:r>
          </w:p>
        </w:tc>
        <w:tc>
          <w:tcPr>
            <w:tcW w:type="dxa" w:w="1080"/>
          </w:tcPr>
          <w:p>
            <w:r>
              <w:t>Follow-ups</w:t>
            </w:r>
          </w:p>
        </w:tc>
        <w:tc>
          <w:tcPr>
            <w:tcW w:type="dxa" w:w="1080"/>
          </w:tcPr>
          <w:p>
            <w:r>
              <w:t>Timestamp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