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verskrift1"/>
        <w:bidi w:val="0"/>
        <w:spacing w:before="240" w:after="120"/>
        <w:jc w:val="left"/>
        <w:rPr/>
      </w:pPr>
      <w:r>
        <w:rPr/>
        <w:t>1. Introduction</w:t>
      </w:r>
    </w:p>
    <w:p>
      <w:pPr>
        <w:pStyle w:val="Brdtekst"/>
        <w:bidi w:val="0"/>
        <w:spacing w:lineRule="auto" w:line="276" w:before="0" w:after="140"/>
        <w:jc w:val="left"/>
        <w:rPr/>
      </w:pPr>
      <w:r>
        <w:rPr/>
        <w:t>Security has always been a moving target. In the early 2000s, when the Oxford MSc in Software Engineering first offered the Security Principles (SPR) module, the dominant threats were computer viruses, e-mail worms, and the early misuse of public key infrastructure (PKI). Secure Socket Layer (SSL) was just becoming a practical standard, while protocols such as IPSec and Kerberos were the subject of lively academic debate. ActiveX and Java applets exemplified two diverging philosophies of how to control untrusted code, and the British Medical Association’s proposals for safeguarding electronic health records reflected the anxieties of digitising highly sensitive personal data. Against this backdrop, students were taught that the “CIA triad”—confidentiality, integrity, and availability—captured the essence of information security.</w:t>
      </w:r>
    </w:p>
    <w:p>
      <w:pPr>
        <w:pStyle w:val="Brdtekst"/>
        <w:bidi w:val="0"/>
        <w:spacing w:lineRule="auto" w:line="276" w:before="0" w:after="140"/>
        <w:jc w:val="left"/>
        <w:rPr/>
      </w:pPr>
      <w:r>
        <w:rPr/>
        <w:t xml:space="preserve">Two decades later, the language of security has not changed much, but the scale and complexity of the problems has grown enormously. Cloud computing has dissolved the idea of a fixed perimeter, leading to the “zero trust” philosophy of security design. Mobile devices, app ecosystems, and browser-based runtimes have displaced Java and ActiveX, but the same underlying question remains: should we trust code based on </w:t>
      </w:r>
      <w:r>
        <w:rPr>
          <w:rStyle w:val="Fremhvet"/>
        </w:rPr>
        <w:t>who</w:t>
      </w:r>
      <w:r>
        <w:rPr/>
        <w:t xml:space="preserve"> signed it, or based on </w:t>
      </w:r>
      <w:r>
        <w:rPr>
          <w:rStyle w:val="Fremhvet"/>
        </w:rPr>
        <w:t>what</w:t>
      </w:r>
      <w:r>
        <w:rPr/>
        <w:t xml:space="preserve"> it is allowed to do? In secure communication, SSL has given way to TLS 1.3 and QUIC, whose message flows resemble the “station-to-station” and SIGMA family of protocols studied in the early literature. In data protection, regulation has become central: the General Data Protection Regulation (GDPR) in Europe and the Health Insurance Portability and Accountability Act (HIPAA) in the United States define not only the legal but also the technical obligations of systems that handle sensitive information.</w:t>
      </w:r>
    </w:p>
    <w:p>
      <w:pPr>
        <w:pStyle w:val="Brdtekst"/>
        <w:bidi w:val="0"/>
        <w:spacing w:lineRule="auto" w:line="276" w:before="0" w:after="140"/>
        <w:jc w:val="left"/>
        <w:rPr/>
      </w:pPr>
      <w:r>
        <w:rPr/>
        <w:t>The continuity is striking. Replay attacks, man-in-the-middle interception, and insider misuse are still the major themes of secure protocol and system design. The changes lie in the tools. Modern protocols mandate ephemeral Diffie–Hellman key exchange to guarantee forward secrecy, authenticated encryption to bind confidentiality and integrity into one primitive, and hybrid post-quantum cryptography to prepare for adversaries with quantum computers. Code distribution ecosystems combine digital signatures with sandboxing and runtime permission systems. Healthcare databases, once managed by single institutions, now operate in multi-cloud federations, requiring privacy-preserving analytics such as differential privacy and secure multiparty computation to balance utility with compliance.</w:t>
      </w:r>
    </w:p>
    <w:p>
      <w:pPr>
        <w:pStyle w:val="Brdtekst"/>
        <w:bidi w:val="0"/>
        <w:spacing w:lineRule="auto" w:line="276" w:before="0" w:after="140"/>
        <w:jc w:val="left"/>
        <w:rPr/>
      </w:pPr>
      <w:r>
        <w:rPr/>
        <w:t>The Security Principles module is therefore not a study of obsolete technology but of enduring ideas. By revisiting the three original areas of study—secure communication protocols, runtime containment versus publisher trust, and secure handling of sensitive databases—we can see how the underlying principles have been preserved while the technological landscape has shifted. The purpose of this assignment is to show how those principles are applied in 2025, contrasting early solutions with modern practice, and to illustrate through case studies in medical and financial systems how threats can be systematically modelled, risks assessed, and controls implemented.</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This Introduction should already span about 2–3 pages when laid out with references, citations, and spacing.</w:t>
      </w:r>
    </w:p>
    <w:p>
      <w:pPr>
        <w:pStyle w:val="Brdtekst"/>
        <w:bidi w:val="0"/>
        <w:spacing w:lineRule="auto" w:line="276" w:before="0" w:after="140"/>
        <w:jc w:val="left"/>
        <w:rPr/>
      </w:pPr>
      <w:r>
        <w:rPr/>
        <w:t xml:space="preserve">Would you like me to move next into </w:t>
      </w:r>
      <w:r>
        <w:rPr>
          <w:rStyle w:val="Strkfremhvet"/>
        </w:rPr>
        <w:t>Section 2: Secure Communication Protocols</w:t>
      </w:r>
      <w:r>
        <w:rPr/>
        <w:t xml:space="preserve"> (expanded 4–5 pages), starting with a detailed critique of the 2002-style protocol and then walking through TLS 1.3, SIGMA, QUIC, and hybrid PQC?</w:t>
      </w:r>
    </w:p>
    <w:p>
      <w:pPr>
        <w:pStyle w:val="Overskrift5"/>
        <w:bidi w:val="0"/>
        <w:jc w:val="left"/>
        <w:rPr/>
      </w:pPr>
      <w:r>
        <w:rPr/>
        <w:t>Du sagde:</w:t>
      </w:r>
    </w:p>
    <w:p>
      <w:pPr>
        <w:pStyle w:val="Brdtekst"/>
        <w:bidi w:val="0"/>
        <w:jc w:val="left"/>
        <w:rPr/>
      </w:pPr>
      <w:r>
        <w:rPr/>
        <w:t>Yes, Section 2 is noe of the more interesting areas.</w:t>
      </w:r>
    </w:p>
    <w:p>
      <w:pPr>
        <w:pStyle w:val="Overskrift6"/>
        <w:bidi w:val="0"/>
        <w:jc w:val="left"/>
        <w:rPr/>
      </w:pPr>
      <w:r>
        <w:rPr/>
        <w:t>ChatGPT sagde:</w:t>
      </w:r>
    </w:p>
    <w:p>
      <w:pPr>
        <w:pStyle w:val="Brdtekst"/>
        <w:bidi w:val="0"/>
        <w:spacing w:lineRule="auto" w:line="276" w:before="0" w:after="140"/>
        <w:jc w:val="left"/>
        <w:rPr/>
      </w:pPr>
      <w:r>
        <w:rPr/>
        <w:t xml:space="preserve">Great — let’s dig into </w:t>
      </w:r>
      <w:r>
        <w:rPr>
          <w:rStyle w:val="Strkfremhvet"/>
        </w:rPr>
        <w:t>Section 2: Secure Communication Protocols</w:t>
      </w:r>
      <w:r>
        <w:rPr/>
        <w:t>. I’ll expand this section fully (~4–5 pages worth of prose in final layout), balancing historical critique with modern detail.</w:t>
      </w:r>
    </w:p>
    <w:p>
      <w:pPr>
        <w:pStyle w:val="Vandretlinje"/>
        <w:suppressLineNumbers/>
        <w:pBdr>
          <w:bottom w:val="double" w:sz="2" w:space="0" w:color="808080"/>
        </w:pBdr>
        <w:bidi w:val="0"/>
        <w:spacing w:before="0" w:after="283"/>
        <w:jc w:val="left"/>
        <w:rPr/>
      </w:pPr>
      <w:r>
        <w:rPr/>
      </w:r>
    </w:p>
    <w:p>
      <w:pPr>
        <w:pStyle w:val="Overskrift1"/>
        <w:bidi w:val="0"/>
        <w:jc w:val="left"/>
        <w:rPr/>
      </w:pPr>
      <w:r>
        <w:rPr/>
        <w:t>2. Secure Communication Protocols</w:t>
      </w:r>
    </w:p>
    <w:p>
      <w:pPr>
        <w:pStyle w:val="Overskrift2"/>
        <w:bidi w:val="0"/>
        <w:jc w:val="left"/>
        <w:rPr/>
      </w:pPr>
      <w:r>
        <w:rPr/>
        <w:t>2.1 The Baseline Protocol (2002-era design)</w:t>
      </w:r>
    </w:p>
    <w:p>
      <w:pPr>
        <w:pStyle w:val="Brdtekst"/>
        <w:bidi w:val="0"/>
        <w:spacing w:lineRule="auto" w:line="276" w:before="0" w:after="140"/>
        <w:jc w:val="left"/>
        <w:rPr/>
      </w:pPr>
      <w:r>
        <w:rPr/>
        <w:t>The protocol studied in the original assignment resembled a public-key exchange augmented with timestamps or nonces for freshness. A typical flow would be:</w:t>
      </w:r>
    </w:p>
    <w:p>
      <w:pPr>
        <w:pStyle w:val="Prformaterettekst"/>
        <w:bidi w:val="0"/>
        <w:rPr/>
      </w:pPr>
      <w:r>
        <w:rPr>
          <w:rStyle w:val="Kildetekst"/>
        </w:rPr>
        <w:t>A → B : A, B, tA, {KAB}PKB, SigA(…)</w:t>
      </w:r>
    </w:p>
    <w:p>
      <w:pPr>
        <w:pStyle w:val="Prformaterettekst"/>
        <w:bidi w:val="0"/>
        <w:spacing w:before="0" w:after="283"/>
        <w:rPr/>
      </w:pPr>
      <w:r>
        <w:rPr>
          <w:rStyle w:val="Kildetekst"/>
        </w:rPr>
        <w:t>B → A : B, A, tB, {KAB}PKA, SigB(…)</w:t>
      </w:r>
    </w:p>
    <w:p>
      <w:pPr>
        <w:pStyle w:val="Brdtekst"/>
        <w:bidi w:val="0"/>
        <w:spacing w:lineRule="auto" w:line="276" w:before="0" w:after="140"/>
        <w:jc w:val="left"/>
        <w:rPr/>
      </w:pPr>
      <w:r>
        <w:rPr/>
        <w:t xml:space="preserve">Here, A and B denote the principals, </w:t>
      </w:r>
      <w:r>
        <w:rPr>
          <w:rStyle w:val="Kildetekst"/>
        </w:rPr>
        <w:t>tA</w:t>
      </w:r>
      <w:r>
        <w:rPr/>
        <w:t xml:space="preserve"> and </w:t>
      </w:r>
      <w:r>
        <w:rPr>
          <w:rStyle w:val="Kildetekst"/>
        </w:rPr>
        <w:t>tB</w:t>
      </w:r>
      <w:r>
        <w:rPr/>
        <w:t xml:space="preserve"> are timestamps (or nonces), </w:t>
      </w:r>
      <w:r>
        <w:rPr>
          <w:rStyle w:val="Kildetekst"/>
        </w:rPr>
        <w:t>{KAB}PKX</w:t>
      </w:r>
      <w:r>
        <w:rPr/>
        <w:t xml:space="preserve"> indicates the encryption of a session key under the recipient’s public key, and </w:t>
      </w:r>
      <w:r>
        <w:rPr>
          <w:rStyle w:val="Kildetekst"/>
        </w:rPr>
        <w:t>SigX</w:t>
      </w:r>
      <w:r>
        <w:rPr/>
        <w:t xml:space="preserve"> denotes a digital signature with the long-term private key of X.</w:t>
      </w:r>
    </w:p>
    <w:p>
      <w:pPr>
        <w:pStyle w:val="Brdtekst"/>
        <w:bidi w:val="0"/>
        <w:spacing w:lineRule="auto" w:line="276" w:before="0" w:after="140"/>
        <w:jc w:val="left"/>
        <w:rPr/>
      </w:pPr>
      <w:r>
        <w:rPr/>
        <w:t>This design captures several important goals: distribution of a shared secret, verification of identity, and protection against replay by including freshness tokens. However, from a modern standpoint the weaknesses are clear:</w:t>
      </w:r>
    </w:p>
    <w:p>
      <w:pPr>
        <w:pStyle w:val="Brdtekst"/>
        <w:numPr>
          <w:ilvl w:val="0"/>
          <w:numId w:val="1"/>
        </w:numPr>
        <w:tabs>
          <w:tab w:val="clear" w:pos="709"/>
          <w:tab w:val="left" w:pos="709" w:leader="none"/>
        </w:tabs>
        <w:bidi w:val="0"/>
        <w:ind w:left="709" w:hanging="283"/>
        <w:jc w:val="left"/>
        <w:rPr/>
      </w:pPr>
      <w:r>
        <w:rPr>
          <w:rStyle w:val="Strkfremhvet"/>
        </w:rPr>
        <w:t>Replay and skew:</w:t>
      </w:r>
      <w:r>
        <w:rPr/>
        <w:t xml:space="preserve"> If timestamps are used, they depend on synchronised clocks. In distributed systems, clock drift or malicious delay can cause failures or allow replays within the tolerated window.</w:t>
      </w:r>
    </w:p>
    <w:p>
      <w:pPr>
        <w:pStyle w:val="Brdtekst"/>
        <w:numPr>
          <w:ilvl w:val="0"/>
          <w:numId w:val="1"/>
        </w:numPr>
        <w:tabs>
          <w:tab w:val="clear" w:pos="709"/>
          <w:tab w:val="left" w:pos="709" w:leader="none"/>
        </w:tabs>
        <w:bidi w:val="0"/>
        <w:ind w:left="709" w:hanging="283"/>
        <w:jc w:val="left"/>
        <w:rPr/>
      </w:pPr>
      <w:r>
        <w:rPr>
          <w:rStyle w:val="Strkfremhvet"/>
        </w:rPr>
        <w:t>Forward secrecy absent:</w:t>
      </w:r>
      <w:r>
        <w:rPr/>
        <w:t xml:space="preserve"> Compromise of long-term keys allows retrospective decryption of all previous session traffic, since the session key was simply encrypted under the recipient’s public key.</w:t>
      </w:r>
    </w:p>
    <w:p>
      <w:pPr>
        <w:pStyle w:val="Brdtekst"/>
        <w:numPr>
          <w:ilvl w:val="0"/>
          <w:numId w:val="1"/>
        </w:numPr>
        <w:tabs>
          <w:tab w:val="clear" w:pos="709"/>
          <w:tab w:val="left" w:pos="709" w:leader="none"/>
        </w:tabs>
        <w:bidi w:val="0"/>
        <w:ind w:left="709" w:hanging="283"/>
        <w:jc w:val="left"/>
        <w:rPr/>
      </w:pPr>
      <w:r>
        <w:rPr>
          <w:rStyle w:val="Strkfremhvet"/>
        </w:rPr>
        <w:t>Weak binding of identities:</w:t>
      </w:r>
      <w:r>
        <w:rPr/>
        <w:t xml:space="preserve"> The signatures typically covered only part of the message, leaving possible ambiguity over which key is being authenticated, a gap later formalised in “unknown key-share” attacks.</w:t>
      </w:r>
    </w:p>
    <w:p>
      <w:pPr>
        <w:pStyle w:val="Brdtekst"/>
        <w:numPr>
          <w:ilvl w:val="0"/>
          <w:numId w:val="1"/>
        </w:numPr>
        <w:tabs>
          <w:tab w:val="clear" w:pos="709"/>
          <w:tab w:val="left" w:pos="709" w:leader="none"/>
        </w:tabs>
        <w:bidi w:val="0"/>
        <w:ind w:left="709" w:hanging="283"/>
        <w:jc w:val="left"/>
        <w:rPr/>
      </w:pPr>
      <w:r>
        <w:rPr>
          <w:rStyle w:val="Strkfremhvet"/>
        </w:rPr>
        <w:t>No downgrade resistance:</w:t>
      </w:r>
      <w:r>
        <w:rPr/>
        <w:t xml:space="preserve"> An attacker could trick parties into agreeing a weaker cipher suite or legacy protocol.</w:t>
      </w:r>
    </w:p>
    <w:p>
      <w:pPr>
        <w:pStyle w:val="Brdtekst"/>
        <w:numPr>
          <w:ilvl w:val="0"/>
          <w:numId w:val="1"/>
        </w:numPr>
        <w:tabs>
          <w:tab w:val="clear" w:pos="709"/>
          <w:tab w:val="left" w:pos="709" w:leader="none"/>
        </w:tabs>
        <w:bidi w:val="0"/>
        <w:ind w:left="709" w:hanging="283"/>
        <w:jc w:val="left"/>
        <w:rPr/>
      </w:pPr>
      <w:r>
        <w:rPr>
          <w:rStyle w:val="Strkfremhvet"/>
        </w:rPr>
        <w:t>Susceptibility to man-in-the-middle (MITM):</w:t>
      </w:r>
      <w:r>
        <w:rPr/>
        <w:t xml:space="preserve"> Without transcript binding (where every critical field is included in a signed hash of the conversation), an adversary can splice sessions.</w:t>
      </w:r>
    </w:p>
    <w:p>
      <w:pPr>
        <w:pStyle w:val="Brdtekst"/>
        <w:bidi w:val="0"/>
        <w:jc w:val="left"/>
        <w:rPr/>
      </w:pPr>
      <w:r>
        <w:rPr/>
        <w:t>These shortcomings illustrate why academic work in the late 1990s and early 2000s converged on more formal families of authenticated key exchange (AKE) protocols such as Station-to-Station (STS) and SIGMA.</w:t>
      </w:r>
    </w:p>
    <w:p>
      <w:pPr>
        <w:pStyle w:val="Vandretlinje"/>
        <w:suppressLineNumbers/>
        <w:pBdr>
          <w:bottom w:val="double" w:sz="2" w:space="0" w:color="808080"/>
        </w:pBdr>
        <w:bidi w:val="0"/>
        <w:spacing w:before="0" w:after="283"/>
        <w:jc w:val="left"/>
        <w:rPr/>
      </w:pPr>
      <w:r>
        <w:rPr/>
      </w:r>
    </w:p>
    <w:p>
      <w:pPr>
        <w:pStyle w:val="Overskrift2"/>
        <w:bidi w:val="0"/>
        <w:jc w:val="left"/>
        <w:rPr/>
      </w:pPr>
      <w:r>
        <w:rPr/>
        <w:t>2.2 Modern Design: TLS 1.3 and Beyond</w:t>
      </w:r>
    </w:p>
    <w:p>
      <w:pPr>
        <w:pStyle w:val="Brdtekst"/>
        <w:bidi w:val="0"/>
        <w:spacing w:lineRule="auto" w:line="276" w:before="0" w:after="140"/>
        <w:jc w:val="left"/>
        <w:rPr/>
      </w:pPr>
      <w:r>
        <w:rPr/>
        <w:t>Today, the gold standard for secure communication is TLS 1.3 (Dierks &amp; Rescorla, 2018), deployed ubiquitously in browsers, APIs, and mobile apps. TLS 1.3 embodies lessons learned from two decades of protocol design and attacks. Its central features include:</w:t>
      </w:r>
    </w:p>
    <w:p>
      <w:pPr>
        <w:pStyle w:val="Brdtekst"/>
        <w:numPr>
          <w:ilvl w:val="0"/>
          <w:numId w:val="2"/>
        </w:numPr>
        <w:tabs>
          <w:tab w:val="clear" w:pos="709"/>
          <w:tab w:val="left" w:pos="709" w:leader="none"/>
        </w:tabs>
        <w:bidi w:val="0"/>
        <w:ind w:left="709" w:hanging="283"/>
        <w:jc w:val="left"/>
        <w:rPr/>
      </w:pPr>
      <w:r>
        <w:rPr>
          <w:rStyle w:val="Strkfremhvet"/>
        </w:rPr>
        <w:t>Ephemeral Diffie–Hellman:</w:t>
      </w:r>
      <w:r>
        <w:rPr/>
        <w:t xml:space="preserve"> Every session negotiates a fresh key pair (often using Curve25519 or X25519). This guarantees </w:t>
      </w:r>
      <w:r>
        <w:rPr>
          <w:rStyle w:val="Fremhvet"/>
        </w:rPr>
        <w:t>perfect forward secrecy</w:t>
      </w:r>
      <w:r>
        <w:rPr/>
        <w:t>—compromise of long-term keys does not reveal past traffic.</w:t>
      </w:r>
    </w:p>
    <w:p>
      <w:pPr>
        <w:pStyle w:val="Brdtekst"/>
        <w:numPr>
          <w:ilvl w:val="0"/>
          <w:numId w:val="2"/>
        </w:numPr>
        <w:tabs>
          <w:tab w:val="clear" w:pos="709"/>
          <w:tab w:val="left" w:pos="709" w:leader="none"/>
        </w:tabs>
        <w:bidi w:val="0"/>
        <w:ind w:left="709" w:hanging="283"/>
        <w:jc w:val="left"/>
        <w:rPr/>
      </w:pPr>
      <w:r>
        <w:rPr>
          <w:rStyle w:val="Strkfremhvet"/>
        </w:rPr>
        <w:t>Authenticated Encryption with Associated Data (AEAD):</w:t>
      </w:r>
      <w:r>
        <w:rPr/>
        <w:t xml:space="preserve"> TLS 1.3 mandates AEAD ciphers such as AES-GCM and ChaCha20-Poly1305, binding confidentiality and integrity together.</w:t>
      </w:r>
    </w:p>
    <w:p>
      <w:pPr>
        <w:pStyle w:val="Brdtekst"/>
        <w:numPr>
          <w:ilvl w:val="0"/>
          <w:numId w:val="2"/>
        </w:numPr>
        <w:tabs>
          <w:tab w:val="clear" w:pos="709"/>
          <w:tab w:val="left" w:pos="709" w:leader="none"/>
        </w:tabs>
        <w:bidi w:val="0"/>
        <w:ind w:left="709" w:hanging="283"/>
        <w:jc w:val="left"/>
        <w:rPr/>
      </w:pPr>
      <w:r>
        <w:rPr>
          <w:rStyle w:val="Strkfremhvet"/>
        </w:rPr>
        <w:t>Minimal round trips:</w:t>
      </w:r>
      <w:r>
        <w:rPr/>
        <w:t xml:space="preserve"> A full handshake completes in a single round trip, reducing latency. In some cases, 0-RTT data can be sent, with caveats for replay.</w:t>
      </w:r>
    </w:p>
    <w:p>
      <w:pPr>
        <w:pStyle w:val="Brdtekst"/>
        <w:numPr>
          <w:ilvl w:val="0"/>
          <w:numId w:val="2"/>
        </w:numPr>
        <w:tabs>
          <w:tab w:val="clear" w:pos="709"/>
          <w:tab w:val="left" w:pos="709" w:leader="none"/>
        </w:tabs>
        <w:bidi w:val="0"/>
        <w:ind w:left="709" w:hanging="283"/>
        <w:jc w:val="left"/>
        <w:rPr/>
      </w:pPr>
      <w:r>
        <w:rPr>
          <w:rStyle w:val="Strkfremhvet"/>
        </w:rPr>
        <w:t>Transcript binding:</w:t>
      </w:r>
      <w:r>
        <w:rPr/>
        <w:t xml:space="preserve"> Every critical handshake message is hashed into the transcript, and signatures and MACs are computed over this transcript. This prevents splicing and ensures strong authentication.</w:t>
      </w:r>
    </w:p>
    <w:p>
      <w:pPr>
        <w:pStyle w:val="Brdtekst"/>
        <w:numPr>
          <w:ilvl w:val="0"/>
          <w:numId w:val="2"/>
        </w:numPr>
        <w:tabs>
          <w:tab w:val="clear" w:pos="709"/>
          <w:tab w:val="left" w:pos="709" w:leader="none"/>
        </w:tabs>
        <w:bidi w:val="0"/>
        <w:ind w:left="709" w:hanging="283"/>
        <w:jc w:val="left"/>
        <w:rPr/>
      </w:pPr>
      <w:r>
        <w:rPr>
          <w:rStyle w:val="Strkfremhvet"/>
        </w:rPr>
        <w:t>Downgrade protection:</w:t>
      </w:r>
      <w:r>
        <w:rPr/>
        <w:t xml:space="preserve"> Clients and servers embed indicators of supported protocol versions and cipher suites into the transcript, so attackers cannot trick them into falling back to weaker protocols.</w:t>
      </w:r>
    </w:p>
    <w:p>
      <w:pPr>
        <w:pStyle w:val="Brdtekst"/>
        <w:numPr>
          <w:ilvl w:val="0"/>
          <w:numId w:val="2"/>
        </w:numPr>
        <w:tabs>
          <w:tab w:val="clear" w:pos="709"/>
          <w:tab w:val="left" w:pos="709" w:leader="none"/>
        </w:tabs>
        <w:bidi w:val="0"/>
        <w:ind w:left="709" w:hanging="283"/>
        <w:jc w:val="left"/>
        <w:rPr/>
      </w:pPr>
      <w:r>
        <w:rPr>
          <w:rStyle w:val="Strkfremhvet"/>
        </w:rPr>
        <w:t>Post-quantum readiness:</w:t>
      </w:r>
      <w:r>
        <w:rPr/>
        <w:t xml:space="preserve"> Current deployments are experimenting with hybrid key exchange, combining classical elliptic curve Diffie–Hellman with post-quantum schemes such as Kyber.</w:t>
      </w:r>
    </w:p>
    <w:p>
      <w:pPr>
        <w:pStyle w:val="Brdtekst"/>
        <w:bidi w:val="0"/>
        <w:jc w:val="left"/>
        <w:rPr/>
      </w:pPr>
      <w:r>
        <w:rPr/>
        <w:t>The message flow of TLS 1.3 can be summarised as:</w:t>
      </w:r>
    </w:p>
    <w:p>
      <w:pPr>
        <w:pStyle w:val="Brdtekst"/>
        <w:numPr>
          <w:ilvl w:val="0"/>
          <w:numId w:val="3"/>
        </w:numPr>
        <w:tabs>
          <w:tab w:val="clear" w:pos="709"/>
          <w:tab w:val="left" w:pos="709" w:leader="none"/>
        </w:tabs>
        <w:bidi w:val="0"/>
        <w:ind w:left="709" w:hanging="283"/>
        <w:jc w:val="left"/>
        <w:rPr/>
      </w:pPr>
      <w:r>
        <w:rPr>
          <w:rStyle w:val="Strkfremhvet"/>
        </w:rPr>
        <w:t>ClientHello:</w:t>
      </w:r>
      <w:r>
        <w:rPr/>
        <w:t xml:space="preserve"> Advertises supported cipher suites, sends ephemeral public key share and a random nonce.</w:t>
      </w:r>
    </w:p>
    <w:p>
      <w:pPr>
        <w:pStyle w:val="Brdtekst"/>
        <w:numPr>
          <w:ilvl w:val="0"/>
          <w:numId w:val="3"/>
        </w:numPr>
        <w:tabs>
          <w:tab w:val="clear" w:pos="709"/>
          <w:tab w:val="left" w:pos="709" w:leader="none"/>
        </w:tabs>
        <w:bidi w:val="0"/>
        <w:ind w:left="709" w:hanging="283"/>
        <w:jc w:val="left"/>
        <w:rPr/>
      </w:pPr>
      <w:r>
        <w:rPr>
          <w:rStyle w:val="Strkfremhvet"/>
        </w:rPr>
        <w:t>ServerHello:</w:t>
      </w:r>
      <w:r>
        <w:rPr/>
        <w:t xml:space="preserve"> Chooses cipher suite, returns its ephemeral key share, provides certificate, and signs the transcript.</w:t>
      </w:r>
    </w:p>
    <w:p>
      <w:pPr>
        <w:pStyle w:val="Brdtekst"/>
        <w:numPr>
          <w:ilvl w:val="0"/>
          <w:numId w:val="3"/>
        </w:numPr>
        <w:tabs>
          <w:tab w:val="clear" w:pos="709"/>
          <w:tab w:val="left" w:pos="709" w:leader="none"/>
        </w:tabs>
        <w:bidi w:val="0"/>
        <w:ind w:left="709" w:hanging="283"/>
        <w:jc w:val="left"/>
        <w:rPr/>
      </w:pPr>
      <w:r>
        <w:rPr>
          <w:rStyle w:val="Strkfremhvet"/>
        </w:rPr>
        <w:t>Finished (Client → Server):</w:t>
      </w:r>
      <w:r>
        <w:rPr/>
        <w:t xml:space="preserve"> Client proves possession of the shared secret by sending an authenticated Finished message.</w:t>
      </w:r>
    </w:p>
    <w:p>
      <w:pPr>
        <w:pStyle w:val="Brdtekst"/>
        <w:numPr>
          <w:ilvl w:val="0"/>
          <w:numId w:val="3"/>
        </w:numPr>
        <w:tabs>
          <w:tab w:val="clear" w:pos="709"/>
          <w:tab w:val="left" w:pos="709" w:leader="none"/>
        </w:tabs>
        <w:bidi w:val="0"/>
        <w:ind w:left="709" w:hanging="283"/>
        <w:jc w:val="left"/>
        <w:rPr/>
      </w:pPr>
      <w:r>
        <w:rPr>
          <w:rStyle w:val="Strkfremhvet"/>
        </w:rPr>
        <w:t>Finished (Server → Client):</w:t>
      </w:r>
      <w:r>
        <w:rPr/>
        <w:t xml:space="preserve"> Server confirms possession and both derive application keys.</w:t>
      </w:r>
    </w:p>
    <w:p>
      <w:pPr>
        <w:pStyle w:val="Brdtekst"/>
        <w:bidi w:val="0"/>
        <w:jc w:val="left"/>
        <w:rPr/>
      </w:pPr>
      <w:r>
        <w:rPr/>
        <w:t>Compared to the 2002 baseline, the improvements are profound: every session key is independent, every handshake is transcript-bound, and downgrade resistance is built-in.</w:t>
      </w:r>
    </w:p>
    <w:p>
      <w:pPr>
        <w:pStyle w:val="Vandretlinje"/>
        <w:suppressLineNumbers/>
        <w:pBdr>
          <w:bottom w:val="double" w:sz="2" w:space="0" w:color="808080"/>
        </w:pBdr>
        <w:bidi w:val="0"/>
        <w:spacing w:before="0" w:after="283"/>
        <w:jc w:val="left"/>
        <w:rPr/>
      </w:pPr>
      <w:r>
        <w:rPr/>
      </w:r>
    </w:p>
    <w:p>
      <w:pPr>
        <w:pStyle w:val="Overskrift2"/>
        <w:bidi w:val="0"/>
        <w:jc w:val="left"/>
        <w:rPr/>
      </w:pPr>
      <w:r>
        <w:rPr/>
        <w:t>2.3 Alternative Modern Designs: QUIC and SIGMA</w:t>
      </w:r>
    </w:p>
    <w:p>
      <w:pPr>
        <w:pStyle w:val="Brdtekst"/>
        <w:bidi w:val="0"/>
        <w:spacing w:lineRule="auto" w:line="276" w:before="0" w:after="140"/>
        <w:jc w:val="left"/>
        <w:rPr/>
      </w:pPr>
      <w:r>
        <w:rPr/>
        <w:t>TLS 1.3 is not the only option. Google’s QUIC protocol integrates TLS 1.3 directly into a transport layer built on UDP, reducing handshake latency even further. QUIC provides multiplexed streams, reliable delivery, and congestion control in a single stack with mandatory encryption.</w:t>
      </w:r>
    </w:p>
    <w:p>
      <w:pPr>
        <w:pStyle w:val="Brdtekst"/>
        <w:bidi w:val="0"/>
        <w:spacing w:lineRule="auto" w:line="276" w:before="0" w:after="140"/>
        <w:jc w:val="left"/>
        <w:rPr/>
      </w:pPr>
      <w:r>
        <w:rPr/>
        <w:t>The broader family of SIGMA protocols (Canetti &amp; Krawczyk, 2002) continues to influence standards such as IKEv2 (for VPNs). SIGMA’s contribution was a flexible template for authenticated key exchange that cleanly separates key agreement from authentication, avoiding pitfalls such as unknown key-share attacks.</w:t>
      </w:r>
    </w:p>
    <w:p>
      <w:pPr>
        <w:pStyle w:val="Vandretlinje"/>
        <w:suppressLineNumbers/>
        <w:pBdr>
          <w:bottom w:val="double" w:sz="2" w:space="0" w:color="808080"/>
        </w:pBdr>
        <w:bidi w:val="0"/>
        <w:spacing w:before="0" w:after="283"/>
        <w:jc w:val="left"/>
        <w:rPr/>
      </w:pPr>
      <w:r>
        <w:rPr/>
      </w:r>
    </w:p>
    <w:p>
      <w:pPr>
        <w:pStyle w:val="Overskrift2"/>
        <w:bidi w:val="0"/>
        <w:jc w:val="left"/>
        <w:rPr/>
      </w:pPr>
      <w:r>
        <w:rPr/>
        <w:t>2.4 Security Properties of Modern Protocols</w:t>
      </w:r>
    </w:p>
    <w:tbl>
      <w:tblPr>
        <w:tblW w:w="9231" w:type="dxa"/>
        <w:jc w:val="left"/>
        <w:tblInd w:w="0" w:type="dxa"/>
        <w:tblLayout w:type="fixed"/>
        <w:tblCellMar>
          <w:top w:w="28" w:type="dxa"/>
          <w:left w:w="28" w:type="dxa"/>
          <w:bottom w:w="28" w:type="dxa"/>
          <w:right w:w="28" w:type="dxa"/>
        </w:tblCellMar>
      </w:tblPr>
      <w:tblGrid>
        <w:gridCol w:w="2427"/>
        <w:gridCol w:w="3171"/>
        <w:gridCol w:w="3633"/>
      </w:tblGrid>
      <w:tr>
        <w:trPr>
          <w:tblHeader w:val="true"/>
        </w:trPr>
        <w:tc>
          <w:tcPr>
            <w:tcW w:w="2427" w:type="dxa"/>
            <w:tcBorders/>
            <w:vAlign w:val="center"/>
          </w:tcPr>
          <w:p>
            <w:pPr>
              <w:pStyle w:val="Tabeloverskrift"/>
              <w:suppressLineNumbers/>
              <w:bidi w:val="0"/>
              <w:jc w:val="center"/>
              <w:rPr/>
            </w:pPr>
            <w:r>
              <w:rPr/>
              <w:t>Property</w:t>
            </w:r>
          </w:p>
        </w:tc>
        <w:tc>
          <w:tcPr>
            <w:tcW w:w="3171" w:type="dxa"/>
            <w:tcBorders/>
            <w:vAlign w:val="center"/>
          </w:tcPr>
          <w:p>
            <w:pPr>
              <w:pStyle w:val="Tabeloverskrift"/>
              <w:suppressLineNumbers/>
              <w:bidi w:val="0"/>
              <w:jc w:val="center"/>
              <w:rPr/>
            </w:pPr>
            <w:r>
              <w:rPr/>
              <w:t>2002 Baseline Protocol</w:t>
            </w:r>
          </w:p>
        </w:tc>
        <w:tc>
          <w:tcPr>
            <w:tcW w:w="3633" w:type="dxa"/>
            <w:tcBorders/>
            <w:vAlign w:val="center"/>
          </w:tcPr>
          <w:p>
            <w:pPr>
              <w:pStyle w:val="Tabeloverskrift"/>
              <w:suppressLineNumbers/>
              <w:bidi w:val="0"/>
              <w:jc w:val="center"/>
              <w:rPr/>
            </w:pPr>
            <w:r>
              <w:rPr/>
              <w:t>TLS 1.3 / SIGMA / QUIC (2025)</w:t>
            </w:r>
          </w:p>
        </w:tc>
      </w:tr>
      <w:tr>
        <w:trPr/>
        <w:tc>
          <w:tcPr>
            <w:tcW w:w="2427" w:type="dxa"/>
            <w:tcBorders/>
            <w:vAlign w:val="center"/>
          </w:tcPr>
          <w:p>
            <w:pPr>
              <w:pStyle w:val="Tabelindhold"/>
              <w:widowControl w:val="false"/>
              <w:suppressLineNumbers/>
              <w:bidi w:val="0"/>
              <w:jc w:val="left"/>
              <w:rPr/>
            </w:pPr>
            <w:r>
              <w:rPr/>
              <w:t>Confidentiality</w:t>
            </w:r>
          </w:p>
        </w:tc>
        <w:tc>
          <w:tcPr>
            <w:tcW w:w="3171" w:type="dxa"/>
            <w:tcBorders/>
            <w:vAlign w:val="center"/>
          </w:tcPr>
          <w:p>
            <w:pPr>
              <w:pStyle w:val="Tabelindhold"/>
              <w:widowControl w:val="false"/>
              <w:suppressLineNumbers/>
              <w:bidi w:val="0"/>
              <w:jc w:val="left"/>
              <w:rPr/>
            </w:pPr>
            <w:r>
              <w:rPr/>
              <w:t>Yes, if PK encryption secure</w:t>
            </w:r>
          </w:p>
        </w:tc>
        <w:tc>
          <w:tcPr>
            <w:tcW w:w="3633" w:type="dxa"/>
            <w:tcBorders/>
            <w:vAlign w:val="center"/>
          </w:tcPr>
          <w:p>
            <w:pPr>
              <w:pStyle w:val="Tabelindhold"/>
              <w:widowControl w:val="false"/>
              <w:suppressLineNumbers/>
              <w:bidi w:val="0"/>
              <w:jc w:val="left"/>
              <w:rPr/>
            </w:pPr>
            <w:r>
              <w:rPr/>
              <w:t>Yes, AEAD by default</w:t>
            </w:r>
          </w:p>
        </w:tc>
      </w:tr>
      <w:tr>
        <w:trPr/>
        <w:tc>
          <w:tcPr>
            <w:tcW w:w="2427" w:type="dxa"/>
            <w:tcBorders/>
            <w:vAlign w:val="center"/>
          </w:tcPr>
          <w:p>
            <w:pPr>
              <w:pStyle w:val="Tabelindhold"/>
              <w:widowControl w:val="false"/>
              <w:suppressLineNumbers/>
              <w:bidi w:val="0"/>
              <w:jc w:val="left"/>
              <w:rPr/>
            </w:pPr>
            <w:r>
              <w:rPr/>
              <w:t>Integrity</w:t>
            </w:r>
          </w:p>
        </w:tc>
        <w:tc>
          <w:tcPr>
            <w:tcW w:w="3171" w:type="dxa"/>
            <w:tcBorders/>
            <w:vAlign w:val="center"/>
          </w:tcPr>
          <w:p>
            <w:pPr>
              <w:pStyle w:val="Tabelindhold"/>
              <w:widowControl w:val="false"/>
              <w:suppressLineNumbers/>
              <w:bidi w:val="0"/>
              <w:jc w:val="left"/>
              <w:rPr/>
            </w:pPr>
            <w:r>
              <w:rPr/>
              <w:t>Partial (MAC or signature only)</w:t>
            </w:r>
          </w:p>
        </w:tc>
        <w:tc>
          <w:tcPr>
            <w:tcW w:w="3633" w:type="dxa"/>
            <w:tcBorders/>
            <w:vAlign w:val="center"/>
          </w:tcPr>
          <w:p>
            <w:pPr>
              <w:pStyle w:val="Tabelindhold"/>
              <w:widowControl w:val="false"/>
              <w:suppressLineNumbers/>
              <w:bidi w:val="0"/>
              <w:jc w:val="left"/>
              <w:rPr/>
            </w:pPr>
            <w:r>
              <w:rPr/>
              <w:t>Strong via AEAD and transcript</w:t>
            </w:r>
          </w:p>
        </w:tc>
      </w:tr>
      <w:tr>
        <w:trPr/>
        <w:tc>
          <w:tcPr>
            <w:tcW w:w="2427" w:type="dxa"/>
            <w:tcBorders/>
            <w:vAlign w:val="center"/>
          </w:tcPr>
          <w:p>
            <w:pPr>
              <w:pStyle w:val="Tabelindhold"/>
              <w:widowControl w:val="false"/>
              <w:suppressLineNumbers/>
              <w:bidi w:val="0"/>
              <w:jc w:val="left"/>
              <w:rPr/>
            </w:pPr>
            <w:r>
              <w:rPr/>
              <w:t>Authentication</w:t>
            </w:r>
          </w:p>
        </w:tc>
        <w:tc>
          <w:tcPr>
            <w:tcW w:w="3171" w:type="dxa"/>
            <w:tcBorders/>
            <w:vAlign w:val="center"/>
          </w:tcPr>
          <w:p>
            <w:pPr>
              <w:pStyle w:val="Tabelindhold"/>
              <w:widowControl w:val="false"/>
              <w:suppressLineNumbers/>
              <w:bidi w:val="0"/>
              <w:jc w:val="left"/>
              <w:rPr/>
            </w:pPr>
            <w:r>
              <w:rPr/>
              <w:t>Long-term PKI signatures</w:t>
            </w:r>
          </w:p>
        </w:tc>
        <w:tc>
          <w:tcPr>
            <w:tcW w:w="3633" w:type="dxa"/>
            <w:tcBorders/>
            <w:vAlign w:val="center"/>
          </w:tcPr>
          <w:p>
            <w:pPr>
              <w:pStyle w:val="Tabelindhold"/>
              <w:widowControl w:val="false"/>
              <w:suppressLineNumbers/>
              <w:bidi w:val="0"/>
              <w:jc w:val="left"/>
              <w:rPr/>
            </w:pPr>
            <w:r>
              <w:rPr/>
              <w:t>Transcript-bound certs + proof</w:t>
            </w:r>
          </w:p>
        </w:tc>
      </w:tr>
      <w:tr>
        <w:trPr/>
        <w:tc>
          <w:tcPr>
            <w:tcW w:w="2427" w:type="dxa"/>
            <w:tcBorders/>
            <w:vAlign w:val="center"/>
          </w:tcPr>
          <w:p>
            <w:pPr>
              <w:pStyle w:val="Tabelindhold"/>
              <w:widowControl w:val="false"/>
              <w:suppressLineNumbers/>
              <w:bidi w:val="0"/>
              <w:jc w:val="left"/>
              <w:rPr/>
            </w:pPr>
            <w:r>
              <w:rPr/>
              <w:t>Forward secrecy</w:t>
            </w:r>
          </w:p>
        </w:tc>
        <w:tc>
          <w:tcPr>
            <w:tcW w:w="3171" w:type="dxa"/>
            <w:tcBorders/>
            <w:vAlign w:val="center"/>
          </w:tcPr>
          <w:p>
            <w:pPr>
              <w:pStyle w:val="Tabelindhold"/>
              <w:widowControl w:val="false"/>
              <w:suppressLineNumbers/>
              <w:bidi w:val="0"/>
              <w:jc w:val="left"/>
              <w:rPr/>
            </w:pPr>
            <w:r>
              <w:rPr/>
              <w:t>No</w:t>
            </w:r>
          </w:p>
        </w:tc>
        <w:tc>
          <w:tcPr>
            <w:tcW w:w="3633" w:type="dxa"/>
            <w:tcBorders/>
            <w:vAlign w:val="center"/>
          </w:tcPr>
          <w:p>
            <w:pPr>
              <w:pStyle w:val="Tabelindhold"/>
              <w:widowControl w:val="false"/>
              <w:suppressLineNumbers/>
              <w:bidi w:val="0"/>
              <w:jc w:val="left"/>
              <w:rPr/>
            </w:pPr>
            <w:r>
              <w:rPr/>
              <w:t>Yes, ephemeral Diffie–Hellman</w:t>
            </w:r>
          </w:p>
        </w:tc>
      </w:tr>
      <w:tr>
        <w:trPr/>
        <w:tc>
          <w:tcPr>
            <w:tcW w:w="2427" w:type="dxa"/>
            <w:tcBorders/>
            <w:vAlign w:val="center"/>
          </w:tcPr>
          <w:p>
            <w:pPr>
              <w:pStyle w:val="Tabelindhold"/>
              <w:widowControl w:val="false"/>
              <w:suppressLineNumbers/>
              <w:bidi w:val="0"/>
              <w:jc w:val="left"/>
              <w:rPr/>
            </w:pPr>
            <w:r>
              <w:rPr/>
              <w:t>Downgrade resistance</w:t>
            </w:r>
          </w:p>
        </w:tc>
        <w:tc>
          <w:tcPr>
            <w:tcW w:w="3171" w:type="dxa"/>
            <w:tcBorders/>
            <w:vAlign w:val="center"/>
          </w:tcPr>
          <w:p>
            <w:pPr>
              <w:pStyle w:val="Tabelindhold"/>
              <w:widowControl w:val="false"/>
              <w:suppressLineNumbers/>
              <w:bidi w:val="0"/>
              <w:jc w:val="left"/>
              <w:rPr/>
            </w:pPr>
            <w:r>
              <w:rPr/>
              <w:t>No</w:t>
            </w:r>
          </w:p>
        </w:tc>
        <w:tc>
          <w:tcPr>
            <w:tcW w:w="3633" w:type="dxa"/>
            <w:tcBorders/>
            <w:vAlign w:val="center"/>
          </w:tcPr>
          <w:p>
            <w:pPr>
              <w:pStyle w:val="Tabelindhold"/>
              <w:widowControl w:val="false"/>
              <w:suppressLineNumbers/>
              <w:bidi w:val="0"/>
              <w:jc w:val="left"/>
              <w:rPr/>
            </w:pPr>
            <w:r>
              <w:rPr/>
              <w:t>Yes, explicit indicators</w:t>
            </w:r>
          </w:p>
        </w:tc>
      </w:tr>
      <w:tr>
        <w:trPr/>
        <w:tc>
          <w:tcPr>
            <w:tcW w:w="2427" w:type="dxa"/>
            <w:tcBorders/>
            <w:vAlign w:val="center"/>
          </w:tcPr>
          <w:p>
            <w:pPr>
              <w:pStyle w:val="Tabelindhold"/>
              <w:widowControl w:val="false"/>
              <w:suppressLineNumbers/>
              <w:bidi w:val="0"/>
              <w:jc w:val="left"/>
              <w:rPr/>
            </w:pPr>
            <w:r>
              <w:rPr/>
              <w:t>Replay protection</w:t>
            </w:r>
          </w:p>
        </w:tc>
        <w:tc>
          <w:tcPr>
            <w:tcW w:w="3171" w:type="dxa"/>
            <w:tcBorders/>
            <w:vAlign w:val="center"/>
          </w:tcPr>
          <w:p>
            <w:pPr>
              <w:pStyle w:val="Tabelindhold"/>
              <w:widowControl w:val="false"/>
              <w:suppressLineNumbers/>
              <w:bidi w:val="0"/>
              <w:jc w:val="left"/>
              <w:rPr/>
            </w:pPr>
            <w:r>
              <w:rPr/>
              <w:t>Weak (timestamps/nonces)</w:t>
            </w:r>
          </w:p>
        </w:tc>
        <w:tc>
          <w:tcPr>
            <w:tcW w:w="3633" w:type="dxa"/>
            <w:tcBorders/>
            <w:vAlign w:val="center"/>
          </w:tcPr>
          <w:p>
            <w:pPr>
              <w:pStyle w:val="Tabelindhold"/>
              <w:widowControl w:val="false"/>
              <w:suppressLineNumbers/>
              <w:bidi w:val="0"/>
              <w:jc w:val="left"/>
              <w:rPr/>
            </w:pPr>
            <w:r>
              <w:rPr/>
              <w:t>Strong (nonces + transcript)</w:t>
            </w:r>
          </w:p>
        </w:tc>
      </w:tr>
      <w:tr>
        <w:trPr/>
        <w:tc>
          <w:tcPr>
            <w:tcW w:w="2427" w:type="dxa"/>
            <w:tcBorders/>
            <w:vAlign w:val="center"/>
          </w:tcPr>
          <w:p>
            <w:pPr>
              <w:pStyle w:val="Tabelindhold"/>
              <w:widowControl w:val="false"/>
              <w:suppressLineNumbers/>
              <w:bidi w:val="0"/>
              <w:jc w:val="left"/>
              <w:rPr/>
            </w:pPr>
            <w:r>
              <w:rPr/>
              <w:t>Post-quantum resilience</w:t>
            </w:r>
          </w:p>
        </w:tc>
        <w:tc>
          <w:tcPr>
            <w:tcW w:w="3171" w:type="dxa"/>
            <w:tcBorders/>
            <w:vAlign w:val="center"/>
          </w:tcPr>
          <w:p>
            <w:pPr>
              <w:pStyle w:val="Tabelindhold"/>
              <w:widowControl w:val="false"/>
              <w:suppressLineNumbers/>
              <w:bidi w:val="0"/>
              <w:jc w:val="left"/>
              <w:rPr/>
            </w:pPr>
            <w:r>
              <w:rPr/>
              <w:t>None</w:t>
            </w:r>
          </w:p>
        </w:tc>
        <w:tc>
          <w:tcPr>
            <w:tcW w:w="3633" w:type="dxa"/>
            <w:tcBorders/>
            <w:vAlign w:val="center"/>
          </w:tcPr>
          <w:p>
            <w:pPr>
              <w:pStyle w:val="Tabelindhold"/>
              <w:widowControl w:val="false"/>
              <w:suppressLineNumbers/>
              <w:bidi w:val="0"/>
              <w:jc w:val="left"/>
              <w:rPr/>
            </w:pPr>
            <w:r>
              <w:rPr/>
              <w:t>Hybrid ECDH + PQ KEX emerging</w:t>
            </w:r>
          </w:p>
        </w:tc>
      </w:tr>
    </w:tbl>
    <w:p>
      <w:pPr>
        <w:pStyle w:val="Vandretlinje"/>
        <w:suppressLineNumbers/>
        <w:pBdr>
          <w:bottom w:val="double" w:sz="2" w:space="0" w:color="808080"/>
        </w:pBdr>
        <w:bidi w:val="0"/>
        <w:spacing w:before="0" w:after="283"/>
        <w:jc w:val="left"/>
        <w:rPr/>
      </w:pPr>
      <w:r>
        <w:rPr/>
      </w:r>
    </w:p>
    <w:p>
      <w:pPr>
        <w:pStyle w:val="Overskrift2"/>
        <w:bidi w:val="0"/>
        <w:jc w:val="left"/>
        <w:rPr/>
      </w:pPr>
      <w:r>
        <w:rPr/>
        <w:t>2.5 Remaining Challenges</w:t>
      </w:r>
    </w:p>
    <w:p>
      <w:pPr>
        <w:pStyle w:val="Brdtekst"/>
        <w:bidi w:val="0"/>
        <w:spacing w:lineRule="auto" w:line="276" w:before="0" w:after="140"/>
        <w:jc w:val="left"/>
        <w:rPr/>
      </w:pPr>
      <w:r>
        <w:rPr/>
        <w:t>Even TLS 1.3 is not a panacea. Ongoing challenges include:</w:t>
      </w:r>
    </w:p>
    <w:p>
      <w:pPr>
        <w:pStyle w:val="Brdtekst"/>
        <w:numPr>
          <w:ilvl w:val="0"/>
          <w:numId w:val="4"/>
        </w:numPr>
        <w:tabs>
          <w:tab w:val="clear" w:pos="709"/>
          <w:tab w:val="left" w:pos="709" w:leader="none"/>
        </w:tabs>
        <w:bidi w:val="0"/>
        <w:ind w:left="709" w:hanging="283"/>
        <w:jc w:val="left"/>
        <w:rPr/>
      </w:pPr>
      <w:r>
        <w:rPr>
          <w:rStyle w:val="Strkfremhvet"/>
        </w:rPr>
        <w:t>0-RTT replay attacks:</w:t>
      </w:r>
      <w:r>
        <w:rPr/>
        <w:t xml:space="preserve"> Early data can be replayed unless carefully restricted.</w:t>
      </w:r>
    </w:p>
    <w:p>
      <w:pPr>
        <w:pStyle w:val="Brdtekst"/>
        <w:numPr>
          <w:ilvl w:val="0"/>
          <w:numId w:val="4"/>
        </w:numPr>
        <w:tabs>
          <w:tab w:val="clear" w:pos="709"/>
          <w:tab w:val="left" w:pos="709" w:leader="none"/>
        </w:tabs>
        <w:bidi w:val="0"/>
        <w:ind w:left="709" w:hanging="283"/>
        <w:jc w:val="left"/>
        <w:rPr/>
      </w:pPr>
      <w:r>
        <w:rPr>
          <w:rStyle w:val="Strkfremhvet"/>
        </w:rPr>
        <w:t>Side-channel leaks:</w:t>
      </w:r>
      <w:r>
        <w:rPr/>
        <w:t xml:space="preserve"> Timing and cache-based attacks remain possible against implementations.</w:t>
      </w:r>
    </w:p>
    <w:p>
      <w:pPr>
        <w:pStyle w:val="Brdtekst"/>
        <w:numPr>
          <w:ilvl w:val="0"/>
          <w:numId w:val="4"/>
        </w:numPr>
        <w:tabs>
          <w:tab w:val="clear" w:pos="709"/>
          <w:tab w:val="left" w:pos="709" w:leader="none"/>
        </w:tabs>
        <w:bidi w:val="0"/>
        <w:ind w:left="709" w:hanging="283"/>
        <w:jc w:val="left"/>
        <w:rPr/>
      </w:pPr>
      <w:r>
        <w:rPr>
          <w:rStyle w:val="Strkfremhvet"/>
        </w:rPr>
        <w:t>PKI trust issues:</w:t>
      </w:r>
      <w:r>
        <w:rPr/>
        <w:t xml:space="preserve"> The model still depends on Certificate Authorities (CAs), whose compromise can undermine trust globally.</w:t>
      </w:r>
    </w:p>
    <w:p>
      <w:pPr>
        <w:pStyle w:val="Brdtekst"/>
        <w:numPr>
          <w:ilvl w:val="0"/>
          <w:numId w:val="4"/>
        </w:numPr>
        <w:tabs>
          <w:tab w:val="clear" w:pos="709"/>
          <w:tab w:val="left" w:pos="709" w:leader="none"/>
        </w:tabs>
        <w:bidi w:val="0"/>
        <w:ind w:left="709" w:hanging="283"/>
        <w:jc w:val="left"/>
        <w:rPr/>
      </w:pPr>
      <w:r>
        <w:rPr>
          <w:rStyle w:val="Strkfremhvet"/>
        </w:rPr>
        <w:t>Quantum threat horizon:</w:t>
      </w:r>
      <w:r>
        <w:rPr/>
        <w:t xml:space="preserve"> While hybrid key exchange is being deployed, the real challenge will be migrating billions of endpoints to post-quantum schemes without breaking compatibility.</w:t>
      </w:r>
    </w:p>
    <w:p>
      <w:pPr>
        <w:pStyle w:val="Vandretlinje"/>
        <w:bidi w:val="0"/>
        <w:jc w:val="left"/>
        <w:rPr/>
      </w:pPr>
      <w:r>
        <w:rPr/>
      </w:r>
    </w:p>
    <w:p>
      <w:pPr>
        <w:pStyle w:val="Brdtekst"/>
        <w:bidi w:val="0"/>
        <w:spacing w:lineRule="auto" w:line="276" w:before="0" w:after="140"/>
        <w:jc w:val="left"/>
        <w:rPr/>
      </w:pPr>
      <w:r>
        <w:rPr>
          <w:rStyle w:val="Strkfremhvet"/>
        </w:rPr>
        <w:t>Summary:</w:t>
      </w:r>
      <w:r>
        <w:rPr/>
        <w:t xml:space="preserve"> The journey from timestamped session key exchanges to TLS 1.3 illustrates the maturing of security principles into robust engineering standards. Where the early design was fragile and assumption-laden, modern protocols embody forward secrecy, transcript integrity, downgrade protection, and post-quantum agility.</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This section, when typeset, would comfortably run </w:t>
      </w:r>
      <w:r>
        <w:rPr>
          <w:rStyle w:val="Strkfremhvet"/>
        </w:rPr>
        <w:t>4–5 pages</w:t>
      </w:r>
      <w:r>
        <w:rPr/>
        <w:t xml:space="preserve"> with tables, diagrams, and citations.</w:t>
      </w:r>
    </w:p>
    <w:p>
      <w:pPr>
        <w:pStyle w:val="Brdtekst"/>
        <w:bidi w:val="0"/>
        <w:spacing w:lineRule="auto" w:line="276" w:before="0" w:after="140"/>
        <w:jc w:val="left"/>
        <w:rPr/>
      </w:pPr>
      <w:r>
        <w:rPr/>
        <w:t xml:space="preserve">Would you like me to move next into </w:t>
      </w:r>
      <w:r>
        <w:rPr>
          <w:rStyle w:val="Strkfremhvet"/>
        </w:rPr>
        <w:t>Section 3: Containment vs Publisher Trust</w:t>
      </w:r>
      <w:r>
        <w:rPr/>
        <w:t>, where I’ll trace the evolution from Java/ActiveX to mobile app stores and modern supply-chain signing?</w:t>
      </w:r>
    </w:p>
    <w:p>
      <w:pPr>
        <w:pStyle w:val="Overskrift5"/>
        <w:bidi w:val="0"/>
        <w:jc w:val="left"/>
        <w:rPr/>
      </w:pPr>
      <w:r>
        <w:rPr/>
        <w:t>Du sagde:</w:t>
      </w:r>
    </w:p>
    <w:p>
      <w:pPr>
        <w:pStyle w:val="Brdtekst"/>
        <w:bidi w:val="0"/>
        <w:jc w:val="left"/>
        <w:rPr/>
      </w:pPr>
      <w:r>
        <w:rPr/>
        <w:t>I love it. The length is perfect. Just about right. Section 3.</w:t>
      </w:r>
    </w:p>
    <w:p>
      <w:pPr>
        <w:pStyle w:val="Overskrift6"/>
        <w:bidi w:val="0"/>
        <w:jc w:val="left"/>
        <w:rPr/>
      </w:pPr>
      <w:r>
        <w:rPr/>
        <w:t>ChatGPT sagde:</w:t>
      </w:r>
    </w:p>
    <w:p>
      <w:pPr>
        <w:pStyle w:val="Brdtekst"/>
        <w:bidi w:val="0"/>
        <w:spacing w:lineRule="auto" w:line="276" w:before="0" w:after="140"/>
        <w:jc w:val="left"/>
        <w:rPr/>
      </w:pPr>
      <w:r>
        <w:rPr/>
        <w:t xml:space="preserve">Fantastic — glad the pacing feels right. Let’s move into </w:t>
      </w:r>
      <w:r>
        <w:rPr>
          <w:rStyle w:val="Strkfremhvet"/>
        </w:rPr>
        <w:t>Section 3: Containment vs Publisher Trust</w:t>
      </w:r>
      <w:r>
        <w:rPr/>
        <w:t xml:space="preserve">. This one is juicy because it’s really a story of </w:t>
      </w:r>
      <w:r>
        <w:rPr>
          <w:rStyle w:val="Fremhvet"/>
        </w:rPr>
        <w:t>philosophical divergence</w:t>
      </w:r>
      <w:r>
        <w:rPr/>
        <w:t xml:space="preserve"> in security thinking that is still unresolved today. Here’s the expanded draft (≈3–4 pages in print):</w:t>
      </w:r>
    </w:p>
    <w:p>
      <w:pPr>
        <w:pStyle w:val="Vandretlinje"/>
        <w:suppressLineNumbers/>
        <w:pBdr>
          <w:bottom w:val="double" w:sz="2" w:space="0" w:color="808080"/>
        </w:pBdr>
        <w:bidi w:val="0"/>
        <w:spacing w:before="0" w:after="283"/>
        <w:jc w:val="left"/>
        <w:rPr/>
      </w:pPr>
      <w:r>
        <w:rPr/>
      </w:r>
    </w:p>
    <w:p>
      <w:pPr>
        <w:pStyle w:val="Overskrift1"/>
        <w:bidi w:val="0"/>
        <w:jc w:val="left"/>
        <w:rPr/>
      </w:pPr>
      <w:r>
        <w:rPr/>
        <w:t>3. Containment vs Publisher Trust</w:t>
      </w:r>
    </w:p>
    <w:p>
      <w:pPr>
        <w:pStyle w:val="Overskrift2"/>
        <w:bidi w:val="0"/>
        <w:jc w:val="left"/>
        <w:rPr/>
      </w:pPr>
      <w:r>
        <w:rPr/>
        <w:t>3.1 Two Competing Philosophies</w:t>
      </w:r>
    </w:p>
    <w:p>
      <w:pPr>
        <w:pStyle w:val="Brdtekst"/>
        <w:bidi w:val="0"/>
        <w:spacing w:lineRule="auto" w:line="276" w:before="0" w:after="140"/>
        <w:jc w:val="left"/>
        <w:rPr/>
      </w:pPr>
      <w:r>
        <w:rPr/>
        <w:t xml:space="preserve">When untrusted code must be run on a user’s machine, system designers face two fundamental choices. The first is </w:t>
      </w:r>
      <w:r>
        <w:rPr>
          <w:rStyle w:val="Strkfremhvet"/>
        </w:rPr>
        <w:t>containment</w:t>
      </w:r>
      <w:r>
        <w:rPr/>
        <w:t xml:space="preserve">, in which code is allowed to execute but only inside a sandbox that strictly limits its capabilities. The second is </w:t>
      </w:r>
      <w:r>
        <w:rPr>
          <w:rStyle w:val="Strkfremhvet"/>
        </w:rPr>
        <w:t>publisher trust</w:t>
      </w:r>
      <w:r>
        <w:rPr/>
        <w:t>, in which code is granted full native capability but only if it has been vetted and signed by a trusted authority.</w:t>
      </w:r>
    </w:p>
    <w:p>
      <w:pPr>
        <w:pStyle w:val="Brdtekst"/>
        <w:bidi w:val="0"/>
        <w:spacing w:lineRule="auto" w:line="276" w:before="0" w:after="140"/>
        <w:jc w:val="left"/>
        <w:rPr/>
      </w:pPr>
      <w:r>
        <w:rPr/>
        <w:t>The tension is obvious. Containment reduces reliance on trust but limits what the code can do. Publisher trust preserves capability and performance but creates a single point of failure if the trust anchor is compromised. Both approaches have seen waves of enthusiasm and disillusionment.</w:t>
      </w:r>
    </w:p>
    <w:p>
      <w:pPr>
        <w:pStyle w:val="Vandretlinje"/>
        <w:suppressLineNumbers/>
        <w:pBdr>
          <w:bottom w:val="double" w:sz="2" w:space="0" w:color="808080"/>
        </w:pBdr>
        <w:bidi w:val="0"/>
        <w:spacing w:before="0" w:after="283"/>
        <w:jc w:val="left"/>
        <w:rPr/>
      </w:pPr>
      <w:r>
        <w:rPr/>
      </w:r>
    </w:p>
    <w:p>
      <w:pPr>
        <w:pStyle w:val="Overskrift2"/>
        <w:bidi w:val="0"/>
        <w:jc w:val="left"/>
        <w:rPr/>
      </w:pPr>
      <w:r>
        <w:rPr/>
        <w:t>3.2 Historical Arc: From Applets to App Stores</w:t>
      </w:r>
    </w:p>
    <w:p>
      <w:pPr>
        <w:pStyle w:val="Brdtekst"/>
        <w:bidi w:val="0"/>
        <w:spacing w:lineRule="auto" w:line="276" w:before="0" w:after="140"/>
        <w:jc w:val="left"/>
        <w:rPr/>
      </w:pPr>
      <w:r>
        <w:rPr/>
        <w:t xml:space="preserve">In the early 2000s, the two approaches were embodied by </w:t>
      </w:r>
      <w:r>
        <w:rPr>
          <w:rStyle w:val="Strkfremhvet"/>
        </w:rPr>
        <w:t>Java applets</w:t>
      </w:r>
      <w:r>
        <w:rPr/>
        <w:t xml:space="preserve"> and </w:t>
      </w:r>
      <w:r>
        <w:rPr>
          <w:rStyle w:val="Strkfremhvet"/>
        </w:rPr>
        <w:t>ActiveX controls</w:t>
      </w:r>
      <w:r>
        <w:rPr/>
        <w:t>. Java used a runtime sandbox: bytecode was verified, memory safety enforced, and untrusted applets were limited to strict APIs unless granted additional privileges. ActiveX, by contrast, required developers to sign their controls with Authenticode certificates; once installed, an ActiveX control had essentially the same power as any local binary.</w:t>
      </w:r>
    </w:p>
    <w:p>
      <w:pPr>
        <w:pStyle w:val="Brdtekst"/>
        <w:bidi w:val="0"/>
        <w:spacing w:lineRule="auto" w:line="276" w:before="0" w:after="140"/>
        <w:jc w:val="left"/>
        <w:rPr/>
      </w:pPr>
      <w:r>
        <w:rPr/>
        <w:t>Both systems ultimately failed. Sandboxing was bypassed through numerous vulnerabilities in the Java Virtual Machine. Authenticode was abused when attackers stole or fraudulently obtained certificates, tricking users into installing malware. By the mid-2010s, browsers had removed support for both technologies.</w:t>
      </w:r>
    </w:p>
    <w:p>
      <w:pPr>
        <w:pStyle w:val="Brdtekst"/>
        <w:bidi w:val="0"/>
        <w:spacing w:lineRule="auto" w:line="276" w:before="0" w:after="140"/>
        <w:jc w:val="left"/>
        <w:rPr/>
      </w:pPr>
      <w:r>
        <w:rPr/>
        <w:t xml:space="preserve">The problem re-emerged in a new guise with the rise of </w:t>
      </w:r>
      <w:r>
        <w:rPr>
          <w:rStyle w:val="Strkfremhvet"/>
        </w:rPr>
        <w:t>mobile ecosystems</w:t>
      </w:r>
      <w:r>
        <w:rPr/>
        <w:t>. iOS and Android combined both philosophies: apps must be signed by a developer key vetted by Apple or Google (</w:t>
      </w:r>
      <w:r>
        <w:rPr>
          <w:rStyle w:val="Fremhvet"/>
        </w:rPr>
        <w:t>publisher trust</w:t>
      </w:r>
      <w:r>
        <w:rPr/>
        <w:t>), but are also sandboxed with a permission system (</w:t>
      </w:r>
      <w:r>
        <w:rPr>
          <w:rStyle w:val="Fremhvet"/>
        </w:rPr>
        <w:t>containment</w:t>
      </w:r>
      <w:r>
        <w:rPr/>
        <w:t>). This layered model addressed many of the weaknesses of the earlier approaches. Users could trust that apps had been minimally vetted, while the sandbox reduced damage from malicious or buggy behaviour.</w:t>
      </w:r>
    </w:p>
    <w:p>
      <w:pPr>
        <w:pStyle w:val="Brdtekst"/>
        <w:bidi w:val="0"/>
        <w:spacing w:lineRule="auto" w:line="276" w:before="0" w:after="140"/>
        <w:jc w:val="left"/>
        <w:rPr/>
      </w:pPr>
      <w:r>
        <w:rPr/>
        <w:t xml:space="preserve">The most recent chapter is the supply-chain crisis exemplified by the </w:t>
      </w:r>
      <w:r>
        <w:rPr>
          <w:rStyle w:val="Strkfremhvet"/>
        </w:rPr>
        <w:t>SolarWinds Orion attack (2020)</w:t>
      </w:r>
      <w:r>
        <w:rPr/>
        <w:t>. Attackers inserted malicious code into a signed software update, which was then distributed and trusted by thousands of organisations. This demonstrated that signatures alone are not enough; robust sandboxing, monitoring, and behaviour-based detection remain essential.</w:t>
      </w:r>
    </w:p>
    <w:p>
      <w:pPr>
        <w:pStyle w:val="Vandretlinje"/>
        <w:suppressLineNumbers/>
        <w:pBdr>
          <w:bottom w:val="double" w:sz="2" w:space="0" w:color="808080"/>
        </w:pBdr>
        <w:bidi w:val="0"/>
        <w:spacing w:before="0" w:after="283"/>
        <w:jc w:val="left"/>
        <w:rPr/>
      </w:pPr>
      <w:r>
        <w:rPr/>
      </w:r>
    </w:p>
    <w:p>
      <w:pPr>
        <w:pStyle w:val="Overskrift2"/>
        <w:bidi w:val="0"/>
        <w:jc w:val="left"/>
        <w:rPr/>
      </w:pPr>
      <w:r>
        <w:rPr/>
        <w:t>3.3 Modern Landscape</w:t>
      </w:r>
    </w:p>
    <w:p>
      <w:pPr>
        <w:pStyle w:val="Brdtekst"/>
        <w:bidi w:val="0"/>
        <w:spacing w:lineRule="auto" w:line="276" w:before="0" w:after="140"/>
        <w:jc w:val="left"/>
        <w:rPr/>
      </w:pPr>
      <w:r>
        <w:rPr/>
        <w:t>In 2025, containment and publisher trust coexist in most systems:</w:t>
      </w:r>
    </w:p>
    <w:p>
      <w:pPr>
        <w:pStyle w:val="Brdtekst"/>
        <w:numPr>
          <w:ilvl w:val="0"/>
          <w:numId w:val="5"/>
        </w:numPr>
        <w:tabs>
          <w:tab w:val="clear" w:pos="709"/>
          <w:tab w:val="left" w:pos="709" w:leader="none"/>
        </w:tabs>
        <w:bidi w:val="0"/>
        <w:ind w:left="709" w:hanging="283"/>
        <w:jc w:val="left"/>
        <w:rPr/>
      </w:pPr>
      <w:r>
        <w:rPr>
          <w:rStyle w:val="Strkfremhvet"/>
        </w:rPr>
        <w:t>Containment:</w:t>
      </w:r>
    </w:p>
    <w:p>
      <w:pPr>
        <w:pStyle w:val="Brdtekst"/>
        <w:numPr>
          <w:ilvl w:val="1"/>
          <w:numId w:val="5"/>
        </w:numPr>
        <w:tabs>
          <w:tab w:val="clear" w:pos="709"/>
          <w:tab w:val="left" w:pos="1418" w:leader="none"/>
        </w:tabs>
        <w:bidi w:val="0"/>
        <w:ind w:left="1418" w:hanging="283"/>
        <w:jc w:val="left"/>
        <w:rPr/>
      </w:pPr>
      <w:r>
        <w:rPr>
          <w:rStyle w:val="Strkfremhvet"/>
        </w:rPr>
        <w:t>WebAssembly (WASM):</w:t>
      </w:r>
      <w:r>
        <w:rPr/>
        <w:t xml:space="preserve"> Executed inside a strict runtime sandbox in browsers and increasingly in servers. Provides near-native performance with limited syscalls.</w:t>
      </w:r>
    </w:p>
    <w:p>
      <w:pPr>
        <w:pStyle w:val="Brdtekst"/>
        <w:numPr>
          <w:ilvl w:val="1"/>
          <w:numId w:val="5"/>
        </w:numPr>
        <w:tabs>
          <w:tab w:val="clear" w:pos="709"/>
          <w:tab w:val="left" w:pos="1418" w:leader="none"/>
        </w:tabs>
        <w:bidi w:val="0"/>
        <w:ind w:left="1418" w:hanging="283"/>
        <w:jc w:val="left"/>
        <w:rPr/>
      </w:pPr>
      <w:r>
        <w:rPr>
          <w:rStyle w:val="Strkfremhvet"/>
        </w:rPr>
        <w:t>Containers (Docker, Kubernetes):</w:t>
      </w:r>
      <w:r>
        <w:rPr/>
        <w:t xml:space="preserve"> Provide process-level isolation, although less strict than VM isolation.</w:t>
      </w:r>
    </w:p>
    <w:p>
      <w:pPr>
        <w:pStyle w:val="Brdtekst"/>
        <w:numPr>
          <w:ilvl w:val="1"/>
          <w:numId w:val="5"/>
        </w:numPr>
        <w:tabs>
          <w:tab w:val="clear" w:pos="709"/>
          <w:tab w:val="left" w:pos="1418" w:leader="none"/>
        </w:tabs>
        <w:bidi w:val="0"/>
        <w:ind w:left="1418" w:hanging="283"/>
        <w:jc w:val="left"/>
        <w:rPr/>
      </w:pPr>
      <w:r>
        <w:rPr>
          <w:rStyle w:val="Strkfremhvet"/>
        </w:rPr>
        <w:t>Trusted Execution Environments (TEEs):</w:t>
      </w:r>
      <w:r>
        <w:rPr/>
        <w:t xml:space="preserve"> Hardware enclaves (Intel SGX, AMD SEV, ARM TrustZone) provide sandboxing at the CPU level.</w:t>
      </w:r>
    </w:p>
    <w:p>
      <w:pPr>
        <w:pStyle w:val="Brdtekst"/>
        <w:numPr>
          <w:ilvl w:val="0"/>
          <w:numId w:val="5"/>
        </w:numPr>
        <w:tabs>
          <w:tab w:val="clear" w:pos="709"/>
          <w:tab w:val="left" w:pos="709" w:leader="none"/>
        </w:tabs>
        <w:bidi w:val="0"/>
        <w:ind w:left="709" w:hanging="283"/>
        <w:jc w:val="left"/>
        <w:rPr/>
      </w:pPr>
      <w:r>
        <w:rPr>
          <w:rStyle w:val="Strkfremhvet"/>
        </w:rPr>
        <w:t>Publisher Trust:</w:t>
      </w:r>
    </w:p>
    <w:p>
      <w:pPr>
        <w:pStyle w:val="Brdtekst"/>
        <w:numPr>
          <w:ilvl w:val="1"/>
          <w:numId w:val="5"/>
        </w:numPr>
        <w:tabs>
          <w:tab w:val="clear" w:pos="709"/>
          <w:tab w:val="left" w:pos="1418" w:leader="none"/>
        </w:tabs>
        <w:bidi w:val="0"/>
        <w:ind w:left="1418" w:hanging="283"/>
        <w:jc w:val="left"/>
        <w:rPr/>
      </w:pPr>
      <w:r>
        <w:rPr>
          <w:rStyle w:val="Strkfremhvet"/>
        </w:rPr>
        <w:t>Code Signing &amp; Notarisation:</w:t>
      </w:r>
      <w:r>
        <w:rPr/>
        <w:t xml:space="preserve"> Mandatory in macOS, Windows kernel drivers, and many enterprise environments.</w:t>
      </w:r>
    </w:p>
    <w:p>
      <w:pPr>
        <w:pStyle w:val="Brdtekst"/>
        <w:numPr>
          <w:ilvl w:val="1"/>
          <w:numId w:val="5"/>
        </w:numPr>
        <w:tabs>
          <w:tab w:val="clear" w:pos="709"/>
          <w:tab w:val="left" w:pos="1418" w:leader="none"/>
        </w:tabs>
        <w:bidi w:val="0"/>
        <w:ind w:left="1418" w:hanging="283"/>
        <w:jc w:val="left"/>
        <w:rPr/>
      </w:pPr>
      <w:r>
        <w:rPr>
          <w:rStyle w:val="Strkfremhvet"/>
        </w:rPr>
        <w:t>Software Supply Chain Security:</w:t>
      </w:r>
      <w:r>
        <w:rPr/>
        <w:t xml:space="preserve"> Frameworks like Sigstore, in-toto, and The Update Framework (TUF) extend signing to cover not just binaries but the entire build and distribution pipeline.</w:t>
      </w:r>
    </w:p>
    <w:p>
      <w:pPr>
        <w:pStyle w:val="Brdtekst"/>
        <w:numPr>
          <w:ilvl w:val="1"/>
          <w:numId w:val="5"/>
        </w:numPr>
        <w:tabs>
          <w:tab w:val="clear" w:pos="709"/>
          <w:tab w:val="left" w:pos="1418" w:leader="none"/>
        </w:tabs>
        <w:bidi w:val="0"/>
        <w:ind w:left="1418" w:hanging="283"/>
        <w:jc w:val="left"/>
        <w:rPr/>
      </w:pPr>
      <w:r>
        <w:rPr>
          <w:rStyle w:val="Strkfremhvet"/>
        </w:rPr>
        <w:t>App Store Vetting:</w:t>
      </w:r>
      <w:r>
        <w:rPr/>
        <w:t xml:space="preserve"> Apple and Google enforce application signing and review.</w:t>
      </w:r>
    </w:p>
    <w:p>
      <w:pPr>
        <w:pStyle w:val="Vandretlinje"/>
        <w:bidi w:val="0"/>
        <w:jc w:val="left"/>
        <w:rPr/>
      </w:pPr>
      <w:r>
        <w:rPr/>
      </w:r>
    </w:p>
    <w:p>
      <w:pPr>
        <w:pStyle w:val="Overskrift2"/>
        <w:bidi w:val="0"/>
        <w:jc w:val="left"/>
        <w:rPr/>
      </w:pPr>
      <w:r>
        <w:rPr/>
        <w:t>3.4 Comparative Analysis</w:t>
      </w:r>
    </w:p>
    <w:tbl>
      <w:tblPr>
        <w:tblW w:w="9638" w:type="dxa"/>
        <w:jc w:val="left"/>
        <w:tblInd w:w="0" w:type="dxa"/>
        <w:tblLayout w:type="fixed"/>
        <w:tblCellMar>
          <w:top w:w="28" w:type="dxa"/>
          <w:left w:w="28" w:type="dxa"/>
          <w:bottom w:w="28" w:type="dxa"/>
          <w:right w:w="28" w:type="dxa"/>
        </w:tblCellMar>
      </w:tblPr>
      <w:tblGrid>
        <w:gridCol w:w="1924"/>
        <w:gridCol w:w="3573"/>
        <w:gridCol w:w="4141"/>
      </w:tblGrid>
      <w:tr>
        <w:trPr>
          <w:tblHeader w:val="true"/>
        </w:trPr>
        <w:tc>
          <w:tcPr>
            <w:tcW w:w="1924" w:type="dxa"/>
            <w:tcBorders/>
            <w:vAlign w:val="center"/>
          </w:tcPr>
          <w:p>
            <w:pPr>
              <w:pStyle w:val="Tabeloverskrift"/>
              <w:suppressLineNumbers/>
              <w:bidi w:val="0"/>
              <w:jc w:val="center"/>
              <w:rPr/>
            </w:pPr>
            <w:r>
              <w:rPr/>
              <w:t>Aspect</w:t>
            </w:r>
          </w:p>
        </w:tc>
        <w:tc>
          <w:tcPr>
            <w:tcW w:w="3573" w:type="dxa"/>
            <w:tcBorders/>
            <w:vAlign w:val="center"/>
          </w:tcPr>
          <w:p>
            <w:pPr>
              <w:pStyle w:val="Tabeloverskrift"/>
              <w:suppressLineNumbers/>
              <w:bidi w:val="0"/>
              <w:jc w:val="center"/>
              <w:rPr/>
            </w:pPr>
            <w:r>
              <w:rPr/>
              <w:t>Containment (Sandbox)</w:t>
            </w:r>
          </w:p>
        </w:tc>
        <w:tc>
          <w:tcPr>
            <w:tcW w:w="4141" w:type="dxa"/>
            <w:tcBorders/>
            <w:vAlign w:val="center"/>
          </w:tcPr>
          <w:p>
            <w:pPr>
              <w:pStyle w:val="Tabeloverskrift"/>
              <w:suppressLineNumbers/>
              <w:bidi w:val="0"/>
              <w:jc w:val="center"/>
              <w:rPr/>
            </w:pPr>
            <w:r>
              <w:rPr/>
              <w:t>Publisher Trust (Signing)</w:t>
            </w:r>
          </w:p>
        </w:tc>
      </w:tr>
      <w:tr>
        <w:trPr/>
        <w:tc>
          <w:tcPr>
            <w:tcW w:w="1924" w:type="dxa"/>
            <w:tcBorders/>
            <w:vAlign w:val="center"/>
          </w:tcPr>
          <w:p>
            <w:pPr>
              <w:pStyle w:val="Tabelindhold"/>
              <w:widowControl w:val="false"/>
              <w:suppressLineNumbers/>
              <w:bidi w:val="0"/>
              <w:jc w:val="left"/>
              <w:rPr/>
            </w:pPr>
            <w:r>
              <w:rPr/>
              <w:t>Enforcement point</w:t>
            </w:r>
          </w:p>
        </w:tc>
        <w:tc>
          <w:tcPr>
            <w:tcW w:w="3573" w:type="dxa"/>
            <w:tcBorders/>
            <w:vAlign w:val="center"/>
          </w:tcPr>
          <w:p>
            <w:pPr>
              <w:pStyle w:val="Tabelindhold"/>
              <w:widowControl w:val="false"/>
              <w:suppressLineNumbers/>
              <w:bidi w:val="0"/>
              <w:jc w:val="left"/>
              <w:rPr/>
            </w:pPr>
            <w:r>
              <w:rPr/>
              <w:t>Runtime</w:t>
            </w:r>
          </w:p>
        </w:tc>
        <w:tc>
          <w:tcPr>
            <w:tcW w:w="4141" w:type="dxa"/>
            <w:tcBorders/>
            <w:vAlign w:val="center"/>
          </w:tcPr>
          <w:p>
            <w:pPr>
              <w:pStyle w:val="Tabelindhold"/>
              <w:widowControl w:val="false"/>
              <w:suppressLineNumbers/>
              <w:bidi w:val="0"/>
              <w:jc w:val="left"/>
              <w:rPr/>
            </w:pPr>
            <w:r>
              <w:rPr/>
              <w:t>Pre-execution</w:t>
            </w:r>
          </w:p>
        </w:tc>
      </w:tr>
      <w:tr>
        <w:trPr/>
        <w:tc>
          <w:tcPr>
            <w:tcW w:w="1924" w:type="dxa"/>
            <w:tcBorders/>
            <w:vAlign w:val="center"/>
          </w:tcPr>
          <w:p>
            <w:pPr>
              <w:pStyle w:val="Tabelindhold"/>
              <w:widowControl w:val="false"/>
              <w:suppressLineNumbers/>
              <w:bidi w:val="0"/>
              <w:jc w:val="left"/>
              <w:rPr/>
            </w:pPr>
            <w:r>
              <w:rPr/>
              <w:t>Trust assumption</w:t>
            </w:r>
          </w:p>
        </w:tc>
        <w:tc>
          <w:tcPr>
            <w:tcW w:w="3573" w:type="dxa"/>
            <w:tcBorders/>
            <w:vAlign w:val="center"/>
          </w:tcPr>
          <w:p>
            <w:pPr>
              <w:pStyle w:val="Tabelindhold"/>
              <w:widowControl w:val="false"/>
              <w:suppressLineNumbers/>
              <w:bidi w:val="0"/>
              <w:jc w:val="left"/>
              <w:rPr/>
            </w:pPr>
            <w:r>
              <w:rPr/>
              <w:t>Runtime enforces isolation correctly</w:t>
            </w:r>
          </w:p>
        </w:tc>
        <w:tc>
          <w:tcPr>
            <w:tcW w:w="4141" w:type="dxa"/>
            <w:tcBorders/>
            <w:vAlign w:val="center"/>
          </w:tcPr>
          <w:p>
            <w:pPr>
              <w:pStyle w:val="Tabelindhold"/>
              <w:widowControl w:val="false"/>
              <w:suppressLineNumbers/>
              <w:bidi w:val="0"/>
              <w:jc w:val="left"/>
              <w:rPr/>
            </w:pPr>
            <w:r>
              <w:rPr/>
              <w:t>Signer identity is reliable, CA not compromised</w:t>
            </w:r>
          </w:p>
        </w:tc>
      </w:tr>
      <w:tr>
        <w:trPr/>
        <w:tc>
          <w:tcPr>
            <w:tcW w:w="1924" w:type="dxa"/>
            <w:tcBorders/>
            <w:vAlign w:val="center"/>
          </w:tcPr>
          <w:p>
            <w:pPr>
              <w:pStyle w:val="Tabelindhold"/>
              <w:widowControl w:val="false"/>
              <w:suppressLineNumbers/>
              <w:bidi w:val="0"/>
              <w:jc w:val="left"/>
              <w:rPr/>
            </w:pPr>
            <w:r>
              <w:rPr/>
              <w:t>Failure mode</w:t>
            </w:r>
          </w:p>
        </w:tc>
        <w:tc>
          <w:tcPr>
            <w:tcW w:w="3573" w:type="dxa"/>
            <w:tcBorders/>
            <w:vAlign w:val="center"/>
          </w:tcPr>
          <w:p>
            <w:pPr>
              <w:pStyle w:val="Tabelindhold"/>
              <w:widowControl w:val="false"/>
              <w:suppressLineNumbers/>
              <w:bidi w:val="0"/>
              <w:jc w:val="left"/>
              <w:rPr/>
            </w:pPr>
            <w:r>
              <w:rPr/>
              <w:t>Escape leads to local compromise</w:t>
            </w:r>
          </w:p>
        </w:tc>
        <w:tc>
          <w:tcPr>
            <w:tcW w:w="4141" w:type="dxa"/>
            <w:tcBorders/>
            <w:vAlign w:val="center"/>
          </w:tcPr>
          <w:p>
            <w:pPr>
              <w:pStyle w:val="Tabelindhold"/>
              <w:widowControl w:val="false"/>
              <w:suppressLineNumbers/>
              <w:bidi w:val="0"/>
              <w:jc w:val="left"/>
              <w:rPr/>
            </w:pPr>
            <w:r>
              <w:rPr/>
              <w:t>Stolen key leads to global compromise</w:t>
            </w:r>
          </w:p>
        </w:tc>
      </w:tr>
      <w:tr>
        <w:trPr/>
        <w:tc>
          <w:tcPr>
            <w:tcW w:w="1924" w:type="dxa"/>
            <w:tcBorders/>
            <w:vAlign w:val="center"/>
          </w:tcPr>
          <w:p>
            <w:pPr>
              <w:pStyle w:val="Tabelindhold"/>
              <w:widowControl w:val="false"/>
              <w:suppressLineNumbers/>
              <w:bidi w:val="0"/>
              <w:jc w:val="left"/>
              <w:rPr/>
            </w:pPr>
            <w:r>
              <w:rPr/>
              <w:t>Performance impact</w:t>
            </w:r>
          </w:p>
        </w:tc>
        <w:tc>
          <w:tcPr>
            <w:tcW w:w="3573" w:type="dxa"/>
            <w:tcBorders/>
            <w:vAlign w:val="center"/>
          </w:tcPr>
          <w:p>
            <w:pPr>
              <w:pStyle w:val="Tabelindhold"/>
              <w:widowControl w:val="false"/>
              <w:suppressLineNumbers/>
              <w:bidi w:val="0"/>
              <w:jc w:val="left"/>
              <w:rPr/>
            </w:pPr>
            <w:r>
              <w:rPr/>
              <w:t>Potential overhead, restricted capabilities</w:t>
            </w:r>
          </w:p>
        </w:tc>
        <w:tc>
          <w:tcPr>
            <w:tcW w:w="4141" w:type="dxa"/>
            <w:tcBorders/>
            <w:vAlign w:val="center"/>
          </w:tcPr>
          <w:p>
            <w:pPr>
              <w:pStyle w:val="Tabelindhold"/>
              <w:widowControl w:val="false"/>
              <w:suppressLineNumbers/>
              <w:bidi w:val="0"/>
              <w:jc w:val="left"/>
              <w:rPr/>
            </w:pPr>
            <w:r>
              <w:rPr/>
              <w:t>Minimal</w:t>
            </w:r>
          </w:p>
        </w:tc>
      </w:tr>
      <w:tr>
        <w:trPr/>
        <w:tc>
          <w:tcPr>
            <w:tcW w:w="1924" w:type="dxa"/>
            <w:tcBorders/>
            <w:vAlign w:val="center"/>
          </w:tcPr>
          <w:p>
            <w:pPr>
              <w:pStyle w:val="Tabelindhold"/>
              <w:widowControl w:val="false"/>
              <w:suppressLineNumbers/>
              <w:bidi w:val="0"/>
              <w:jc w:val="left"/>
              <w:rPr/>
            </w:pPr>
            <w:r>
              <w:rPr/>
              <w:t>User transparency</w:t>
            </w:r>
          </w:p>
        </w:tc>
        <w:tc>
          <w:tcPr>
            <w:tcW w:w="3573" w:type="dxa"/>
            <w:tcBorders/>
            <w:vAlign w:val="center"/>
          </w:tcPr>
          <w:p>
            <w:pPr>
              <w:pStyle w:val="Tabelindhold"/>
              <w:widowControl w:val="false"/>
              <w:suppressLineNumbers/>
              <w:bidi w:val="0"/>
              <w:jc w:val="left"/>
              <w:rPr/>
            </w:pPr>
            <w:r>
              <w:rPr/>
              <w:t>Invisible, automatic</w:t>
            </w:r>
          </w:p>
        </w:tc>
        <w:tc>
          <w:tcPr>
            <w:tcW w:w="4141" w:type="dxa"/>
            <w:tcBorders/>
            <w:vAlign w:val="center"/>
          </w:tcPr>
          <w:p>
            <w:pPr>
              <w:pStyle w:val="Tabelindhold"/>
              <w:widowControl w:val="false"/>
              <w:suppressLineNumbers/>
              <w:bidi w:val="0"/>
              <w:jc w:val="left"/>
              <w:rPr/>
            </w:pPr>
            <w:r>
              <w:rPr/>
              <w:t>Prompts, warnings, certificate dialogs</w:t>
            </w:r>
          </w:p>
        </w:tc>
      </w:tr>
      <w:tr>
        <w:trPr/>
        <w:tc>
          <w:tcPr>
            <w:tcW w:w="1924" w:type="dxa"/>
            <w:tcBorders/>
            <w:vAlign w:val="center"/>
          </w:tcPr>
          <w:p>
            <w:pPr>
              <w:pStyle w:val="Tabelindhold"/>
              <w:widowControl w:val="false"/>
              <w:suppressLineNumbers/>
              <w:bidi w:val="0"/>
              <w:jc w:val="left"/>
              <w:rPr/>
            </w:pPr>
            <w:r>
              <w:rPr/>
              <w:t>Examples</w:t>
            </w:r>
          </w:p>
        </w:tc>
        <w:tc>
          <w:tcPr>
            <w:tcW w:w="3573" w:type="dxa"/>
            <w:tcBorders/>
            <w:vAlign w:val="center"/>
          </w:tcPr>
          <w:p>
            <w:pPr>
              <w:pStyle w:val="Tabelindhold"/>
              <w:widowControl w:val="false"/>
              <w:suppressLineNumbers/>
              <w:bidi w:val="0"/>
              <w:jc w:val="left"/>
              <w:rPr/>
            </w:pPr>
            <w:r>
              <w:rPr/>
              <w:t>WASM, Docker, iOS sandbox, TEEs</w:t>
            </w:r>
          </w:p>
        </w:tc>
        <w:tc>
          <w:tcPr>
            <w:tcW w:w="4141" w:type="dxa"/>
            <w:tcBorders/>
            <w:vAlign w:val="center"/>
          </w:tcPr>
          <w:p>
            <w:pPr>
              <w:pStyle w:val="Tabelindhold"/>
              <w:widowControl w:val="false"/>
              <w:suppressLineNumbers/>
              <w:bidi w:val="0"/>
              <w:jc w:val="left"/>
              <w:rPr/>
            </w:pPr>
            <w:r>
              <w:rPr/>
              <w:t>App Store signing, Windows drivers, Sigstore</w:t>
            </w:r>
          </w:p>
        </w:tc>
      </w:tr>
    </w:tbl>
    <w:p>
      <w:pPr>
        <w:pStyle w:val="Brdtekst"/>
        <w:bidi w:val="0"/>
        <w:spacing w:lineRule="auto" w:line="276" w:before="0" w:after="140"/>
        <w:jc w:val="left"/>
        <w:rPr/>
      </w:pPr>
      <w:r>
        <w:rPr/>
        <w:t>This table highlights the complementary nature of the approaches. Neither is sufficient on its own.</w:t>
      </w:r>
    </w:p>
    <w:p>
      <w:pPr>
        <w:pStyle w:val="Vandretlinje"/>
        <w:suppressLineNumbers/>
        <w:pBdr>
          <w:bottom w:val="double" w:sz="2" w:space="0" w:color="808080"/>
        </w:pBdr>
        <w:bidi w:val="0"/>
        <w:spacing w:before="0" w:after="283"/>
        <w:jc w:val="left"/>
        <w:rPr/>
      </w:pPr>
      <w:r>
        <w:rPr/>
      </w:r>
    </w:p>
    <w:p>
      <w:pPr>
        <w:pStyle w:val="Overskrift2"/>
        <w:bidi w:val="0"/>
        <w:jc w:val="left"/>
        <w:rPr/>
      </w:pPr>
      <w:r>
        <w:rPr/>
        <w:t>3.5 Case Examples</w:t>
      </w:r>
    </w:p>
    <w:p>
      <w:pPr>
        <w:pStyle w:val="Brdtekst"/>
        <w:numPr>
          <w:ilvl w:val="0"/>
          <w:numId w:val="6"/>
        </w:numPr>
        <w:tabs>
          <w:tab w:val="clear" w:pos="709"/>
          <w:tab w:val="left" w:pos="709" w:leader="none"/>
        </w:tabs>
        <w:bidi w:val="0"/>
        <w:ind w:left="709" w:hanging="283"/>
        <w:jc w:val="left"/>
        <w:rPr/>
      </w:pPr>
      <w:r>
        <w:rPr>
          <w:rStyle w:val="Strkfremhvet"/>
        </w:rPr>
        <w:t>Browser Extensions:</w:t>
      </w:r>
      <w:r>
        <w:rPr/>
        <w:t xml:space="preserve"> Google Chrome requires all extensions to be signed, but still runs them in sandboxes with limited APIs. Despite this, malicious extensions frequently slip through, showing that both containment and vetting can be bypassed.</w:t>
      </w:r>
    </w:p>
    <w:p>
      <w:pPr>
        <w:pStyle w:val="Brdtekst"/>
        <w:numPr>
          <w:ilvl w:val="0"/>
          <w:numId w:val="6"/>
        </w:numPr>
        <w:tabs>
          <w:tab w:val="clear" w:pos="709"/>
          <w:tab w:val="left" w:pos="709" w:leader="none"/>
        </w:tabs>
        <w:bidi w:val="0"/>
        <w:ind w:left="709" w:hanging="283"/>
        <w:jc w:val="left"/>
        <w:rPr/>
      </w:pPr>
      <w:r>
        <w:rPr>
          <w:rStyle w:val="Strkfremhvet"/>
        </w:rPr>
        <w:t>Enterprise Signing Policies:</w:t>
      </w:r>
      <w:r>
        <w:rPr/>
        <w:t xml:space="preserve"> Microsoft’s requirement that kernel drivers be signed prevents a large class of rootkits. Yet in 2022, several stolen signing certificates were used to distribute malware, proving the limits of trust in PKI.</w:t>
      </w:r>
    </w:p>
    <w:p>
      <w:pPr>
        <w:pStyle w:val="Brdtekst"/>
        <w:numPr>
          <w:ilvl w:val="0"/>
          <w:numId w:val="6"/>
        </w:numPr>
        <w:tabs>
          <w:tab w:val="clear" w:pos="709"/>
          <w:tab w:val="left" w:pos="709" w:leader="none"/>
        </w:tabs>
        <w:bidi w:val="0"/>
        <w:ind w:left="709" w:hanging="283"/>
        <w:jc w:val="left"/>
        <w:rPr/>
      </w:pPr>
      <w:r>
        <w:rPr>
          <w:rStyle w:val="Strkfremhvet"/>
        </w:rPr>
        <w:t>Cloud Environments:</w:t>
      </w:r>
      <w:r>
        <w:rPr/>
        <w:t xml:space="preserve"> Containers isolate workloads, but organisations still demand that images be signed before deployment, reflecting a dual reliance on both philosophies.</w:t>
      </w:r>
    </w:p>
    <w:p>
      <w:pPr>
        <w:pStyle w:val="Vandretlinje"/>
        <w:bidi w:val="0"/>
        <w:jc w:val="left"/>
        <w:rPr/>
      </w:pPr>
      <w:r>
        <w:rPr/>
      </w:r>
    </w:p>
    <w:p>
      <w:pPr>
        <w:pStyle w:val="Overskrift2"/>
        <w:bidi w:val="0"/>
        <w:jc w:val="left"/>
        <w:rPr/>
      </w:pPr>
      <w:r>
        <w:rPr/>
        <w:t>3.6 Recommendation: A Layered Model</w:t>
      </w:r>
    </w:p>
    <w:p>
      <w:pPr>
        <w:pStyle w:val="Brdtekst"/>
        <w:bidi w:val="0"/>
        <w:spacing w:lineRule="auto" w:line="276" w:before="0" w:after="140"/>
        <w:jc w:val="left"/>
        <w:rPr/>
      </w:pPr>
      <w:r>
        <w:rPr/>
        <w:t>The lesson from history is clear: containment without signing allows unbounded malicious software into the runtime, while signing without containment magnifies the consequences of any breach of trust. Modern systems should therefore:</w:t>
      </w:r>
    </w:p>
    <w:p>
      <w:pPr>
        <w:pStyle w:val="Brdtekst"/>
        <w:numPr>
          <w:ilvl w:val="0"/>
          <w:numId w:val="7"/>
        </w:numPr>
        <w:tabs>
          <w:tab w:val="clear" w:pos="709"/>
          <w:tab w:val="left" w:pos="709" w:leader="none"/>
        </w:tabs>
        <w:bidi w:val="0"/>
        <w:ind w:left="709" w:hanging="283"/>
        <w:jc w:val="left"/>
        <w:rPr/>
      </w:pPr>
      <w:r>
        <w:rPr>
          <w:rStyle w:val="Strkfremhvet"/>
        </w:rPr>
        <w:t>Mandate signing and provenance verification</w:t>
      </w:r>
      <w:r>
        <w:rPr/>
        <w:t xml:space="preserve"> for all distributed code (developer keys, Sigstore attestations, notarisation).</w:t>
      </w:r>
    </w:p>
    <w:p>
      <w:pPr>
        <w:pStyle w:val="Brdtekst"/>
        <w:numPr>
          <w:ilvl w:val="0"/>
          <w:numId w:val="7"/>
        </w:numPr>
        <w:tabs>
          <w:tab w:val="clear" w:pos="709"/>
          <w:tab w:val="left" w:pos="709" w:leader="none"/>
        </w:tabs>
        <w:bidi w:val="0"/>
        <w:ind w:left="709" w:hanging="283"/>
        <w:jc w:val="left"/>
        <w:rPr/>
      </w:pPr>
      <w:r>
        <w:rPr>
          <w:rStyle w:val="Strkfremhvet"/>
        </w:rPr>
        <w:t>Enforce strict sandboxing and permissions</w:t>
      </w:r>
      <w:r>
        <w:rPr/>
        <w:t xml:space="preserve"> at runtime (mobile OS permissions, WASM capabilities, container isolation).</w:t>
      </w:r>
    </w:p>
    <w:p>
      <w:pPr>
        <w:pStyle w:val="Brdtekst"/>
        <w:numPr>
          <w:ilvl w:val="0"/>
          <w:numId w:val="7"/>
        </w:numPr>
        <w:tabs>
          <w:tab w:val="clear" w:pos="709"/>
          <w:tab w:val="left" w:pos="709" w:leader="none"/>
        </w:tabs>
        <w:bidi w:val="0"/>
        <w:ind w:left="709" w:hanging="283"/>
        <w:jc w:val="left"/>
        <w:rPr/>
      </w:pPr>
      <w:r>
        <w:rPr>
          <w:rStyle w:val="Strkfremhvet"/>
        </w:rPr>
        <w:t>Continuously monitor behaviour</w:t>
      </w:r>
      <w:r>
        <w:rPr/>
        <w:t>, detecting anomalies even if code was signed and running in a sandbox.</w:t>
      </w:r>
    </w:p>
    <w:p>
      <w:pPr>
        <w:pStyle w:val="Brdtekst"/>
        <w:numPr>
          <w:ilvl w:val="0"/>
          <w:numId w:val="7"/>
        </w:numPr>
        <w:tabs>
          <w:tab w:val="clear" w:pos="709"/>
          <w:tab w:val="left" w:pos="709" w:leader="none"/>
        </w:tabs>
        <w:bidi w:val="0"/>
        <w:ind w:left="709" w:hanging="283"/>
        <w:jc w:val="left"/>
        <w:rPr/>
      </w:pPr>
      <w:r>
        <w:rPr>
          <w:rStyle w:val="Strkfremhvet"/>
        </w:rPr>
        <w:t>Audit and rotate trust anchors</w:t>
      </w:r>
      <w:r>
        <w:rPr/>
        <w:t>, reducing the impact of key compromise.</w:t>
      </w:r>
    </w:p>
    <w:p>
      <w:pPr>
        <w:pStyle w:val="Brdtekst"/>
        <w:bidi w:val="0"/>
        <w:jc w:val="left"/>
        <w:rPr/>
      </w:pPr>
      <w:r>
        <w:rPr/>
        <w:t xml:space="preserve">In other words, </w:t>
      </w:r>
      <w:r>
        <w:rPr>
          <w:rStyle w:val="Strkfremhvet"/>
        </w:rPr>
        <w:t>defence in depth</w:t>
      </w:r>
      <w:r>
        <w:rPr/>
        <w:t xml:space="preserve"> applies not just to networks but to code execution. Trust the signer, but verify through containment.</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rStyle w:val="Strkfremhvet"/>
        </w:rPr>
        <w:t>Summary:</w:t>
      </w:r>
      <w:r>
        <w:rPr/>
        <w:t xml:space="preserve"> Section 3 has traced the philosophical divide between sandboxing and signing from the days of applets and ActiveX through to today’s mobile platforms and supply chain frameworks. The future lies not in choosing one, but in weaving them together into resilient layered models.</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This section, when typeset, fills a solid </w:t>
      </w:r>
      <w:r>
        <w:rPr>
          <w:rStyle w:val="Strkfremhvet"/>
        </w:rPr>
        <w:t>3–4 pages</w:t>
      </w:r>
      <w:r>
        <w:rPr/>
        <w:t xml:space="preserve"> with case examples and the comparative table.</w:t>
      </w:r>
    </w:p>
    <w:p>
      <w:pPr>
        <w:pStyle w:val="Brdtekst"/>
        <w:bidi w:val="0"/>
        <w:spacing w:lineRule="auto" w:line="276" w:before="0" w:after="140"/>
        <w:jc w:val="left"/>
        <w:rPr/>
      </w:pPr>
      <w:r>
        <w:rPr/>
        <w:t xml:space="preserve">Would you like me to proceed to </w:t>
      </w:r>
      <w:r>
        <w:rPr>
          <w:rStyle w:val="Strkfremhvet"/>
        </w:rPr>
        <w:t>Section 4: Case Studies in Secure Data Systems</w:t>
      </w:r>
      <w:r>
        <w:rPr/>
        <w:t xml:space="preserve"> (expanded with full STRIDE threat modelling, attack trees, and FAIR risk registers for both medical and financial systems)?</w:t>
      </w:r>
    </w:p>
    <w:p>
      <w:pPr>
        <w:pStyle w:val="Overskrift5"/>
        <w:bidi w:val="0"/>
        <w:jc w:val="left"/>
        <w:rPr/>
      </w:pPr>
      <w:r>
        <w:rPr/>
        <w:t>Du sagde:</w:t>
      </w:r>
    </w:p>
    <w:p>
      <w:pPr>
        <w:pStyle w:val="Brdtekst"/>
        <w:bidi w:val="0"/>
        <w:jc w:val="left"/>
        <w:rPr/>
      </w:pPr>
      <w:r>
        <w:rPr/>
        <w:t xml:space="preserve">Section 4 is interesting. Can it expand to a third case study, Government - Military i.e. Dept of Defense </w:t>
      </w:r>
    </w:p>
    <w:p>
      <w:pPr>
        <w:pStyle w:val="Overskrift6"/>
        <w:bidi w:val="0"/>
        <w:jc w:val="left"/>
        <w:rPr/>
      </w:pPr>
      <w:r>
        <w:rPr/>
        <w:t>ChatGPT sagde:</w:t>
      </w:r>
    </w:p>
    <w:p>
      <w:pPr>
        <w:pStyle w:val="Brdtekst"/>
        <w:bidi w:val="0"/>
        <w:spacing w:lineRule="auto" w:line="276" w:before="0" w:after="140"/>
        <w:jc w:val="left"/>
        <w:rPr/>
      </w:pPr>
      <w:r>
        <w:rPr/>
        <w:t xml:space="preserve">Absolutely — that’s a great idea. Expanding </w:t>
      </w:r>
      <w:r>
        <w:rPr>
          <w:rStyle w:val="Strkfremhvet"/>
        </w:rPr>
        <w:t>Section 4</w:t>
      </w:r>
      <w:r>
        <w:rPr/>
        <w:t xml:space="preserve"> to cover a </w:t>
      </w:r>
      <w:r>
        <w:rPr>
          <w:rStyle w:val="Strkfremhvet"/>
        </w:rPr>
        <w:t>third case study (Government/Military/Defense systems)</w:t>
      </w:r>
      <w:r>
        <w:rPr/>
        <w:t xml:space="preserve"> makes the assignment richer and gives it a “critical infrastructure” dimension that complements health and finance. It also keeps with the Oxford SPR tradition of emphasising high-value, high-consequence domains.</w:t>
      </w:r>
    </w:p>
    <w:p>
      <w:pPr>
        <w:pStyle w:val="Brdtekst"/>
        <w:bidi w:val="0"/>
        <w:spacing w:lineRule="auto" w:line="276" w:before="0" w:after="140"/>
        <w:jc w:val="left"/>
        <w:rPr/>
      </w:pPr>
      <w:r>
        <w:rPr/>
        <w:t>Here’s how I’ll structure Section 4 in expanded form (≈6–8 pages total when typeset):</w:t>
      </w:r>
    </w:p>
    <w:p>
      <w:pPr>
        <w:pStyle w:val="Vandretlinje"/>
        <w:suppressLineNumbers/>
        <w:pBdr>
          <w:bottom w:val="double" w:sz="2" w:space="0" w:color="808080"/>
        </w:pBdr>
        <w:bidi w:val="0"/>
        <w:spacing w:before="0" w:after="283"/>
        <w:jc w:val="left"/>
        <w:rPr/>
      </w:pPr>
      <w:r>
        <w:rPr/>
      </w:r>
    </w:p>
    <w:p>
      <w:pPr>
        <w:pStyle w:val="Overskrift1"/>
        <w:bidi w:val="0"/>
        <w:jc w:val="left"/>
        <w:rPr/>
      </w:pPr>
      <w:r>
        <w:rPr/>
        <w:t>4. Case Studies in Secure Data Systems</w:t>
      </w:r>
    </w:p>
    <w:p>
      <w:pPr>
        <w:pStyle w:val="Overskrift2"/>
        <w:bidi w:val="0"/>
        <w:jc w:val="left"/>
        <w:rPr/>
      </w:pPr>
      <w:r>
        <w:rPr/>
        <w:t>4.1 Medical Databases</w:t>
      </w:r>
    </w:p>
    <w:p>
      <w:pPr>
        <w:pStyle w:val="Overskrift3"/>
        <w:bidi w:val="0"/>
        <w:jc w:val="left"/>
        <w:rPr/>
      </w:pPr>
      <w:r>
        <w:rPr/>
        <w:t>4.1.1 Threat Landscape</w:t>
      </w:r>
    </w:p>
    <w:p>
      <w:pPr>
        <w:pStyle w:val="Brdtekst"/>
        <w:bidi w:val="0"/>
        <w:spacing w:lineRule="auto" w:line="276" w:before="0" w:after="140"/>
        <w:jc w:val="left"/>
        <w:rPr/>
      </w:pPr>
      <w:r>
        <w:rPr/>
        <w:t>Medical databases store sensitive information that is simultaneously valuable for treatment and attractive for exploitation. Threats include insider misuse, ransomware, cloud misconfigurations, and aggregation risks.</w:t>
      </w:r>
    </w:p>
    <w:p>
      <w:pPr>
        <w:pStyle w:val="Overskrift3"/>
        <w:bidi w:val="0"/>
        <w:jc w:val="left"/>
        <w:rPr/>
      </w:pPr>
      <w:r>
        <w:rPr/>
        <w:t>4.1.2 STRIDE Modelling</w:t>
      </w:r>
    </w:p>
    <w:p>
      <w:pPr>
        <w:pStyle w:val="Brdtekst"/>
        <w:numPr>
          <w:ilvl w:val="0"/>
          <w:numId w:val="8"/>
        </w:numPr>
        <w:tabs>
          <w:tab w:val="clear" w:pos="709"/>
          <w:tab w:val="left" w:pos="709" w:leader="none"/>
        </w:tabs>
        <w:bidi w:val="0"/>
        <w:ind w:left="709" w:hanging="283"/>
        <w:jc w:val="left"/>
        <w:rPr/>
      </w:pPr>
      <w:r>
        <w:rPr>
          <w:rStyle w:val="Strkfremhvet"/>
        </w:rPr>
        <w:t>Spoofing:</w:t>
      </w:r>
      <w:r>
        <w:rPr/>
        <w:t xml:space="preserve"> Fake clinician identities to access patient data.</w:t>
      </w:r>
    </w:p>
    <w:p>
      <w:pPr>
        <w:pStyle w:val="Brdtekst"/>
        <w:numPr>
          <w:ilvl w:val="0"/>
          <w:numId w:val="8"/>
        </w:numPr>
        <w:tabs>
          <w:tab w:val="clear" w:pos="709"/>
          <w:tab w:val="left" w:pos="709" w:leader="none"/>
        </w:tabs>
        <w:bidi w:val="0"/>
        <w:ind w:left="709" w:hanging="283"/>
        <w:jc w:val="left"/>
        <w:rPr/>
      </w:pPr>
      <w:r>
        <w:rPr>
          <w:rStyle w:val="Strkfremhvet"/>
        </w:rPr>
        <w:t>Tampering:</w:t>
      </w:r>
      <w:r>
        <w:rPr/>
        <w:t xml:space="preserve"> Altering diagnoses or prescriptions.</w:t>
      </w:r>
    </w:p>
    <w:p>
      <w:pPr>
        <w:pStyle w:val="Brdtekst"/>
        <w:numPr>
          <w:ilvl w:val="0"/>
          <w:numId w:val="8"/>
        </w:numPr>
        <w:tabs>
          <w:tab w:val="clear" w:pos="709"/>
          <w:tab w:val="left" w:pos="709" w:leader="none"/>
        </w:tabs>
        <w:bidi w:val="0"/>
        <w:ind w:left="709" w:hanging="283"/>
        <w:jc w:val="left"/>
        <w:rPr/>
      </w:pPr>
      <w:r>
        <w:rPr>
          <w:rStyle w:val="Strkfremhvet"/>
        </w:rPr>
        <w:t>Repudiation:</w:t>
      </w:r>
      <w:r>
        <w:rPr/>
        <w:t xml:space="preserve"> Clinicians denying having accessed or modified records.</w:t>
      </w:r>
    </w:p>
    <w:p>
      <w:pPr>
        <w:pStyle w:val="Brdtekst"/>
        <w:numPr>
          <w:ilvl w:val="0"/>
          <w:numId w:val="8"/>
        </w:numPr>
        <w:tabs>
          <w:tab w:val="clear" w:pos="709"/>
          <w:tab w:val="left" w:pos="709" w:leader="none"/>
        </w:tabs>
        <w:bidi w:val="0"/>
        <w:ind w:left="709" w:hanging="283"/>
        <w:jc w:val="left"/>
        <w:rPr/>
      </w:pPr>
      <w:r>
        <w:rPr>
          <w:rStyle w:val="Strkfremhvet"/>
        </w:rPr>
        <w:t>Information Disclosure:</w:t>
      </w:r>
      <w:r>
        <w:rPr/>
        <w:t xml:space="preserve"> Leaks via unsecured cloud storage.</w:t>
      </w:r>
    </w:p>
    <w:p>
      <w:pPr>
        <w:pStyle w:val="Brdtekst"/>
        <w:numPr>
          <w:ilvl w:val="0"/>
          <w:numId w:val="8"/>
        </w:numPr>
        <w:tabs>
          <w:tab w:val="clear" w:pos="709"/>
          <w:tab w:val="left" w:pos="709" w:leader="none"/>
        </w:tabs>
        <w:bidi w:val="0"/>
        <w:ind w:left="709" w:hanging="283"/>
        <w:jc w:val="left"/>
        <w:rPr/>
      </w:pPr>
      <w:r>
        <w:rPr>
          <w:rStyle w:val="Strkfremhvet"/>
        </w:rPr>
        <w:t>Denial of Service:</w:t>
      </w:r>
      <w:r>
        <w:rPr/>
        <w:t xml:space="preserve"> Ransomware preventing hospital access.</w:t>
      </w:r>
    </w:p>
    <w:p>
      <w:pPr>
        <w:pStyle w:val="Brdtekst"/>
        <w:numPr>
          <w:ilvl w:val="0"/>
          <w:numId w:val="8"/>
        </w:numPr>
        <w:tabs>
          <w:tab w:val="clear" w:pos="709"/>
          <w:tab w:val="left" w:pos="709" w:leader="none"/>
        </w:tabs>
        <w:bidi w:val="0"/>
        <w:ind w:left="709" w:hanging="283"/>
        <w:jc w:val="left"/>
        <w:rPr/>
      </w:pPr>
      <w:r>
        <w:rPr>
          <w:rStyle w:val="Strkfremhvet"/>
        </w:rPr>
        <w:t>Elevation of Privilege:</w:t>
      </w:r>
      <w:r>
        <w:rPr/>
        <w:t xml:space="preserve"> Administrative accounts abused.</w:t>
      </w:r>
    </w:p>
    <w:p>
      <w:pPr>
        <w:pStyle w:val="Overskrift3"/>
        <w:bidi w:val="0"/>
        <w:jc w:val="left"/>
        <w:rPr/>
      </w:pPr>
      <w:r>
        <w:rPr/>
        <w:t>4.1.3 Attack Tree &amp; Risk Analysis</w:t>
      </w:r>
    </w:p>
    <w:p>
      <w:pPr>
        <w:pStyle w:val="Brdtekst"/>
        <w:bidi w:val="0"/>
        <w:spacing w:lineRule="auto" w:line="276" w:before="0" w:after="140"/>
        <w:jc w:val="left"/>
        <w:rPr/>
      </w:pPr>
      <w:r>
        <w:rPr/>
        <w:t>Root goal: compromise medical data. Branches: insider abuse, misconfigured storage, phishing staff, ransomware infection. FAIR scoring can quantify likelihood × impact, e.g. “High likelihood of ransomware infection; catastrophic impact.”</w:t>
      </w:r>
    </w:p>
    <w:p>
      <w:pPr>
        <w:pStyle w:val="Overskrift3"/>
        <w:bidi w:val="0"/>
        <w:jc w:val="left"/>
        <w:rPr/>
      </w:pPr>
      <w:r>
        <w:rPr/>
        <w:t>4.1.4 Mitigations &amp; Controls</w:t>
      </w:r>
    </w:p>
    <w:p>
      <w:pPr>
        <w:pStyle w:val="Brdtekst"/>
        <w:numPr>
          <w:ilvl w:val="0"/>
          <w:numId w:val="9"/>
        </w:numPr>
        <w:tabs>
          <w:tab w:val="clear" w:pos="709"/>
          <w:tab w:val="left" w:pos="709" w:leader="none"/>
        </w:tabs>
        <w:bidi w:val="0"/>
        <w:ind w:left="709" w:hanging="283"/>
        <w:jc w:val="left"/>
        <w:rPr/>
      </w:pPr>
      <w:r>
        <w:rPr/>
        <w:t>Technical: encryption at rest/in transit, differential privacy, secure enclaves.</w:t>
      </w:r>
    </w:p>
    <w:p>
      <w:pPr>
        <w:pStyle w:val="Brdtekst"/>
        <w:numPr>
          <w:ilvl w:val="0"/>
          <w:numId w:val="9"/>
        </w:numPr>
        <w:tabs>
          <w:tab w:val="clear" w:pos="709"/>
          <w:tab w:val="left" w:pos="709" w:leader="none"/>
        </w:tabs>
        <w:bidi w:val="0"/>
        <w:ind w:left="709" w:hanging="283"/>
        <w:jc w:val="left"/>
        <w:rPr/>
      </w:pPr>
      <w:r>
        <w:rPr/>
        <w:t>Policy: consent management, role-based access.</w:t>
      </w:r>
    </w:p>
    <w:p>
      <w:pPr>
        <w:pStyle w:val="Brdtekst"/>
        <w:numPr>
          <w:ilvl w:val="0"/>
          <w:numId w:val="9"/>
        </w:numPr>
        <w:tabs>
          <w:tab w:val="clear" w:pos="709"/>
          <w:tab w:val="left" w:pos="709" w:leader="none"/>
        </w:tabs>
        <w:bidi w:val="0"/>
        <w:ind w:left="709" w:hanging="283"/>
        <w:jc w:val="left"/>
        <w:rPr/>
      </w:pPr>
      <w:r>
        <w:rPr/>
        <w:t>Regulatory: GDPR, HIPAA.</w:t>
      </w:r>
    </w:p>
    <w:p>
      <w:pPr>
        <w:pStyle w:val="Vandretlinje"/>
        <w:bidi w:val="0"/>
        <w:jc w:val="left"/>
        <w:rPr/>
      </w:pPr>
      <w:r>
        <w:rPr/>
      </w:r>
    </w:p>
    <w:p>
      <w:pPr>
        <w:pStyle w:val="Overskrift2"/>
        <w:bidi w:val="0"/>
        <w:jc w:val="left"/>
        <w:rPr/>
      </w:pPr>
      <w:r>
        <w:rPr/>
        <w:t>4.2 Financial Data Systems</w:t>
      </w:r>
    </w:p>
    <w:p>
      <w:pPr>
        <w:pStyle w:val="Overskrift3"/>
        <w:bidi w:val="0"/>
        <w:jc w:val="left"/>
        <w:rPr/>
      </w:pPr>
      <w:r>
        <w:rPr/>
        <w:t>4.2.1 Threat Landscape</w:t>
      </w:r>
    </w:p>
    <w:p>
      <w:pPr>
        <w:pStyle w:val="Brdtekst"/>
        <w:bidi w:val="0"/>
        <w:spacing w:lineRule="auto" w:line="276" w:before="0" w:after="140"/>
        <w:jc w:val="left"/>
        <w:rPr/>
      </w:pPr>
      <w:r>
        <w:rPr/>
        <w:t>Financial data systems are high-value targets for fraud, market manipulation, and theft. Threats include compromised APIs, high-frequency trading manipulation, and cryptocurrency exchange hacks.</w:t>
      </w:r>
    </w:p>
    <w:p>
      <w:pPr>
        <w:pStyle w:val="Overskrift3"/>
        <w:bidi w:val="0"/>
        <w:jc w:val="left"/>
        <w:rPr/>
      </w:pPr>
      <w:r>
        <w:rPr/>
        <w:t>4.2.2 STRIDE Modelling</w:t>
      </w:r>
    </w:p>
    <w:p>
      <w:pPr>
        <w:pStyle w:val="Brdtekst"/>
        <w:numPr>
          <w:ilvl w:val="0"/>
          <w:numId w:val="10"/>
        </w:numPr>
        <w:tabs>
          <w:tab w:val="clear" w:pos="709"/>
          <w:tab w:val="left" w:pos="709" w:leader="none"/>
        </w:tabs>
        <w:bidi w:val="0"/>
        <w:ind w:left="709" w:hanging="283"/>
        <w:jc w:val="left"/>
        <w:rPr/>
      </w:pPr>
      <w:r>
        <w:rPr>
          <w:rStyle w:val="Strkfremhvet"/>
        </w:rPr>
        <w:t>Spoofing:</w:t>
      </w:r>
      <w:r>
        <w:rPr/>
        <w:t xml:space="preserve"> Impersonating traders or payment users.</w:t>
      </w:r>
    </w:p>
    <w:p>
      <w:pPr>
        <w:pStyle w:val="Brdtekst"/>
        <w:numPr>
          <w:ilvl w:val="0"/>
          <w:numId w:val="10"/>
        </w:numPr>
        <w:tabs>
          <w:tab w:val="clear" w:pos="709"/>
          <w:tab w:val="left" w:pos="709" w:leader="none"/>
        </w:tabs>
        <w:bidi w:val="0"/>
        <w:ind w:left="709" w:hanging="283"/>
        <w:jc w:val="left"/>
        <w:rPr/>
      </w:pPr>
      <w:r>
        <w:rPr>
          <w:rStyle w:val="Strkfremhvet"/>
        </w:rPr>
        <w:t>Tampering:</w:t>
      </w:r>
      <w:r>
        <w:rPr/>
        <w:t xml:space="preserve"> Altering transaction logs.</w:t>
      </w:r>
    </w:p>
    <w:p>
      <w:pPr>
        <w:pStyle w:val="Brdtekst"/>
        <w:numPr>
          <w:ilvl w:val="0"/>
          <w:numId w:val="10"/>
        </w:numPr>
        <w:tabs>
          <w:tab w:val="clear" w:pos="709"/>
          <w:tab w:val="left" w:pos="709" w:leader="none"/>
        </w:tabs>
        <w:bidi w:val="0"/>
        <w:ind w:left="709" w:hanging="283"/>
        <w:jc w:val="left"/>
        <w:rPr/>
      </w:pPr>
      <w:r>
        <w:rPr>
          <w:rStyle w:val="Strkfremhvet"/>
        </w:rPr>
        <w:t>Repudiation:</w:t>
      </w:r>
      <w:r>
        <w:rPr/>
        <w:t xml:space="preserve"> Traders denying fraudulent instructions.</w:t>
      </w:r>
    </w:p>
    <w:p>
      <w:pPr>
        <w:pStyle w:val="Brdtekst"/>
        <w:numPr>
          <w:ilvl w:val="0"/>
          <w:numId w:val="10"/>
        </w:numPr>
        <w:tabs>
          <w:tab w:val="clear" w:pos="709"/>
          <w:tab w:val="left" w:pos="709" w:leader="none"/>
        </w:tabs>
        <w:bidi w:val="0"/>
        <w:ind w:left="709" w:hanging="283"/>
        <w:jc w:val="left"/>
        <w:rPr/>
      </w:pPr>
      <w:r>
        <w:rPr>
          <w:rStyle w:val="Strkfremhvet"/>
        </w:rPr>
        <w:t>Information Disclosure:</w:t>
      </w:r>
      <w:r>
        <w:rPr/>
        <w:t xml:space="preserve"> Leaks of customer or trading strategies.</w:t>
      </w:r>
    </w:p>
    <w:p>
      <w:pPr>
        <w:pStyle w:val="Brdtekst"/>
        <w:numPr>
          <w:ilvl w:val="0"/>
          <w:numId w:val="10"/>
        </w:numPr>
        <w:tabs>
          <w:tab w:val="clear" w:pos="709"/>
          <w:tab w:val="left" w:pos="709" w:leader="none"/>
        </w:tabs>
        <w:bidi w:val="0"/>
        <w:ind w:left="709" w:hanging="283"/>
        <w:jc w:val="left"/>
        <w:rPr/>
      </w:pPr>
      <w:r>
        <w:rPr>
          <w:rStyle w:val="Strkfremhvet"/>
        </w:rPr>
        <w:t>Denial of Service:</w:t>
      </w:r>
      <w:r>
        <w:rPr/>
        <w:t xml:space="preserve"> DDoS against exchanges or brokers.</w:t>
      </w:r>
    </w:p>
    <w:p>
      <w:pPr>
        <w:pStyle w:val="Brdtekst"/>
        <w:numPr>
          <w:ilvl w:val="0"/>
          <w:numId w:val="10"/>
        </w:numPr>
        <w:tabs>
          <w:tab w:val="clear" w:pos="709"/>
          <w:tab w:val="left" w:pos="709" w:leader="none"/>
        </w:tabs>
        <w:bidi w:val="0"/>
        <w:ind w:left="709" w:hanging="283"/>
        <w:jc w:val="left"/>
        <w:rPr/>
      </w:pPr>
      <w:r>
        <w:rPr>
          <w:rStyle w:val="Strkfremhvet"/>
        </w:rPr>
        <w:t>Elevation of Privilege:</w:t>
      </w:r>
      <w:r>
        <w:rPr/>
        <w:t xml:space="preserve"> Exploiting admin accounts.</w:t>
      </w:r>
    </w:p>
    <w:p>
      <w:pPr>
        <w:pStyle w:val="Overskrift3"/>
        <w:bidi w:val="0"/>
        <w:jc w:val="left"/>
        <w:rPr/>
      </w:pPr>
      <w:r>
        <w:rPr/>
        <w:t>4.2.3 Attack Tree &amp; Risk Analysis</w:t>
      </w:r>
    </w:p>
    <w:p>
      <w:pPr>
        <w:pStyle w:val="Brdtekst"/>
        <w:bidi w:val="0"/>
        <w:spacing w:lineRule="auto" w:line="276" w:before="0" w:after="140"/>
        <w:jc w:val="left"/>
        <w:rPr/>
      </w:pPr>
      <w:r>
        <w:rPr/>
        <w:t>Root goal: financial loss or fraud. Branches: payment fraud, insider trading, crypto theft. FAIR scoring highlights payment fraud as frequent/high impact; insider trading as lower likelihood but catastrophic reputational cost.</w:t>
      </w:r>
    </w:p>
    <w:p>
      <w:pPr>
        <w:pStyle w:val="Overskrift3"/>
        <w:bidi w:val="0"/>
        <w:jc w:val="left"/>
        <w:rPr/>
      </w:pPr>
      <w:r>
        <w:rPr/>
        <w:t>4.2.4 Mitigations &amp; Controls</w:t>
      </w:r>
    </w:p>
    <w:p>
      <w:pPr>
        <w:pStyle w:val="Brdtekst"/>
        <w:numPr>
          <w:ilvl w:val="0"/>
          <w:numId w:val="11"/>
        </w:numPr>
        <w:tabs>
          <w:tab w:val="clear" w:pos="709"/>
          <w:tab w:val="left" w:pos="709" w:leader="none"/>
        </w:tabs>
        <w:bidi w:val="0"/>
        <w:ind w:left="709" w:hanging="283"/>
        <w:jc w:val="left"/>
        <w:rPr/>
      </w:pPr>
      <w:r>
        <w:rPr/>
        <w:t>Technical: MFA, anomaly detection, secure enclaves for signing.</w:t>
      </w:r>
    </w:p>
    <w:p>
      <w:pPr>
        <w:pStyle w:val="Brdtekst"/>
        <w:numPr>
          <w:ilvl w:val="0"/>
          <w:numId w:val="11"/>
        </w:numPr>
        <w:tabs>
          <w:tab w:val="clear" w:pos="709"/>
          <w:tab w:val="left" w:pos="709" w:leader="none"/>
        </w:tabs>
        <w:bidi w:val="0"/>
        <w:ind w:left="709" w:hanging="283"/>
        <w:jc w:val="left"/>
        <w:rPr/>
      </w:pPr>
      <w:r>
        <w:rPr/>
        <w:t>Policy: trading supervision, market abuse monitoring.</w:t>
      </w:r>
    </w:p>
    <w:p>
      <w:pPr>
        <w:pStyle w:val="Brdtekst"/>
        <w:numPr>
          <w:ilvl w:val="0"/>
          <w:numId w:val="11"/>
        </w:numPr>
        <w:tabs>
          <w:tab w:val="clear" w:pos="709"/>
          <w:tab w:val="left" w:pos="709" w:leader="none"/>
        </w:tabs>
        <w:bidi w:val="0"/>
        <w:ind w:left="709" w:hanging="283"/>
        <w:jc w:val="left"/>
        <w:rPr/>
      </w:pPr>
      <w:r>
        <w:rPr/>
        <w:t>Regulatory: PSD2, Basel III/IV, MiCA, SEC/FCA compliance.</w:t>
      </w:r>
    </w:p>
    <w:p>
      <w:pPr>
        <w:pStyle w:val="Vandretlinje"/>
        <w:bidi w:val="0"/>
        <w:jc w:val="left"/>
        <w:rPr/>
      </w:pPr>
      <w:r>
        <w:rPr/>
      </w:r>
    </w:p>
    <w:p>
      <w:pPr>
        <w:pStyle w:val="Overskrift2"/>
        <w:bidi w:val="0"/>
        <w:jc w:val="left"/>
        <w:rPr/>
      </w:pPr>
      <w:r>
        <w:rPr/>
        <w:t>4.3 Government and Military Systems (Department of Defense Case Study)</w:t>
      </w:r>
    </w:p>
    <w:p>
      <w:pPr>
        <w:pStyle w:val="Overskrift3"/>
        <w:bidi w:val="0"/>
        <w:jc w:val="left"/>
        <w:rPr/>
      </w:pPr>
      <w:r>
        <w:rPr/>
        <w:t>4.3.1 Threat Landscape</w:t>
      </w:r>
    </w:p>
    <w:p>
      <w:pPr>
        <w:pStyle w:val="Brdtekst"/>
        <w:bidi w:val="0"/>
        <w:spacing w:lineRule="auto" w:line="276" w:before="0" w:after="140"/>
        <w:jc w:val="left"/>
        <w:rPr/>
      </w:pPr>
      <w:r>
        <w:rPr/>
        <w:t>Government and defense systems hold national security information. Threats differ from medical or financial data because adversaries include nation-states with sophisticated capabilities. Attack goals range from espionage to sabotage of critical command-and-control.</w:t>
      </w:r>
    </w:p>
    <w:p>
      <w:pPr>
        <w:pStyle w:val="Overskrift3"/>
        <w:bidi w:val="0"/>
        <w:jc w:val="left"/>
        <w:rPr/>
      </w:pPr>
      <w:r>
        <w:rPr/>
        <w:t>4.3.2 STRIDE Modelling</w:t>
      </w:r>
    </w:p>
    <w:p>
      <w:pPr>
        <w:pStyle w:val="Brdtekst"/>
        <w:numPr>
          <w:ilvl w:val="0"/>
          <w:numId w:val="12"/>
        </w:numPr>
        <w:tabs>
          <w:tab w:val="clear" w:pos="709"/>
          <w:tab w:val="left" w:pos="709" w:leader="none"/>
        </w:tabs>
        <w:bidi w:val="0"/>
        <w:ind w:left="709" w:hanging="283"/>
        <w:jc w:val="left"/>
        <w:rPr/>
      </w:pPr>
      <w:r>
        <w:rPr>
          <w:rStyle w:val="Strkfremhvet"/>
        </w:rPr>
        <w:t>Spoofing:</w:t>
      </w:r>
      <w:r>
        <w:rPr/>
        <w:t xml:space="preserve"> Impersonating officers or systems in command chains.</w:t>
      </w:r>
    </w:p>
    <w:p>
      <w:pPr>
        <w:pStyle w:val="Brdtekst"/>
        <w:numPr>
          <w:ilvl w:val="0"/>
          <w:numId w:val="12"/>
        </w:numPr>
        <w:tabs>
          <w:tab w:val="clear" w:pos="709"/>
          <w:tab w:val="left" w:pos="709" w:leader="none"/>
        </w:tabs>
        <w:bidi w:val="0"/>
        <w:ind w:left="709" w:hanging="283"/>
        <w:jc w:val="left"/>
        <w:rPr/>
      </w:pPr>
      <w:r>
        <w:rPr>
          <w:rStyle w:val="Strkfremhvet"/>
        </w:rPr>
        <w:t>Tampering:</w:t>
      </w:r>
      <w:r>
        <w:rPr/>
        <w:t xml:space="preserve"> Modifying operational orders or intelligence data.</w:t>
      </w:r>
    </w:p>
    <w:p>
      <w:pPr>
        <w:pStyle w:val="Brdtekst"/>
        <w:numPr>
          <w:ilvl w:val="0"/>
          <w:numId w:val="12"/>
        </w:numPr>
        <w:tabs>
          <w:tab w:val="clear" w:pos="709"/>
          <w:tab w:val="left" w:pos="709" w:leader="none"/>
        </w:tabs>
        <w:bidi w:val="0"/>
        <w:ind w:left="709" w:hanging="283"/>
        <w:jc w:val="left"/>
        <w:rPr/>
      </w:pPr>
      <w:r>
        <w:rPr>
          <w:rStyle w:val="Strkfremhvet"/>
        </w:rPr>
        <w:t>Repudiation:</w:t>
      </w:r>
      <w:r>
        <w:rPr/>
        <w:t xml:space="preserve"> Difficulty attributing hostile activity to insiders vs adversaries.</w:t>
      </w:r>
    </w:p>
    <w:p>
      <w:pPr>
        <w:pStyle w:val="Brdtekst"/>
        <w:numPr>
          <w:ilvl w:val="0"/>
          <w:numId w:val="12"/>
        </w:numPr>
        <w:tabs>
          <w:tab w:val="clear" w:pos="709"/>
          <w:tab w:val="left" w:pos="709" w:leader="none"/>
        </w:tabs>
        <w:bidi w:val="0"/>
        <w:ind w:left="709" w:hanging="283"/>
        <w:jc w:val="left"/>
        <w:rPr/>
      </w:pPr>
      <w:r>
        <w:rPr>
          <w:rStyle w:val="Strkfremhvet"/>
        </w:rPr>
        <w:t>Information Disclosure:</w:t>
      </w:r>
      <w:r>
        <w:rPr/>
        <w:t xml:space="preserve"> State secrets leaked (Snowden, WikiLeaks cases).</w:t>
      </w:r>
    </w:p>
    <w:p>
      <w:pPr>
        <w:pStyle w:val="Brdtekst"/>
        <w:numPr>
          <w:ilvl w:val="0"/>
          <w:numId w:val="12"/>
        </w:numPr>
        <w:tabs>
          <w:tab w:val="clear" w:pos="709"/>
          <w:tab w:val="left" w:pos="709" w:leader="none"/>
        </w:tabs>
        <w:bidi w:val="0"/>
        <w:ind w:left="709" w:hanging="283"/>
        <w:jc w:val="left"/>
        <w:rPr/>
      </w:pPr>
      <w:r>
        <w:rPr>
          <w:rStyle w:val="Strkfremhvet"/>
        </w:rPr>
        <w:t>Denial of Service:</w:t>
      </w:r>
      <w:r>
        <w:rPr/>
        <w:t xml:space="preserve"> DDoS or jamming of communications.</w:t>
      </w:r>
    </w:p>
    <w:p>
      <w:pPr>
        <w:pStyle w:val="Brdtekst"/>
        <w:numPr>
          <w:ilvl w:val="0"/>
          <w:numId w:val="12"/>
        </w:numPr>
        <w:tabs>
          <w:tab w:val="clear" w:pos="709"/>
          <w:tab w:val="left" w:pos="709" w:leader="none"/>
        </w:tabs>
        <w:bidi w:val="0"/>
        <w:ind w:left="709" w:hanging="283"/>
        <w:jc w:val="left"/>
        <w:rPr/>
      </w:pPr>
      <w:r>
        <w:rPr>
          <w:rStyle w:val="Strkfremhvet"/>
        </w:rPr>
        <w:t>Elevation of Privilege:</w:t>
      </w:r>
      <w:r>
        <w:rPr/>
        <w:t xml:space="preserve"> Exploiting system vulnerabilities to escalate within classified networks.</w:t>
      </w:r>
    </w:p>
    <w:p>
      <w:pPr>
        <w:pStyle w:val="Overskrift3"/>
        <w:bidi w:val="0"/>
        <w:jc w:val="left"/>
        <w:rPr/>
      </w:pPr>
      <w:r>
        <w:rPr/>
        <w:t>4.3.3 Attack Tree &amp; Risk Analysis</w:t>
      </w:r>
    </w:p>
    <w:p>
      <w:pPr>
        <w:pStyle w:val="Brdtekst"/>
        <w:bidi w:val="0"/>
        <w:spacing w:lineRule="auto" w:line="276" w:before="0" w:after="140"/>
        <w:jc w:val="left"/>
        <w:rPr/>
      </w:pPr>
      <w:r>
        <w:rPr/>
        <w:t>Root goal: compromise military readiness or national security. Branches: cyber-espionage, insider leaks, supply-chain backdoors in hardware/software, disruption of satellite or radar systems. FAIR analysis shows low likelihood but extreme consequence — i.e. “Black Swan” events.</w:t>
      </w:r>
    </w:p>
    <w:p>
      <w:pPr>
        <w:pStyle w:val="Overskrift3"/>
        <w:bidi w:val="0"/>
        <w:jc w:val="left"/>
        <w:rPr/>
      </w:pPr>
      <w:r>
        <w:rPr/>
        <w:t>4.3.4 Mitigations &amp; Controls</w:t>
      </w:r>
    </w:p>
    <w:p>
      <w:pPr>
        <w:pStyle w:val="Brdtekst"/>
        <w:numPr>
          <w:ilvl w:val="0"/>
          <w:numId w:val="13"/>
        </w:numPr>
        <w:tabs>
          <w:tab w:val="clear" w:pos="709"/>
          <w:tab w:val="left" w:pos="709" w:leader="none"/>
        </w:tabs>
        <w:bidi w:val="0"/>
        <w:ind w:left="709" w:hanging="283"/>
        <w:jc w:val="left"/>
        <w:rPr/>
      </w:pPr>
      <w:r>
        <w:rPr/>
        <w:t>Technical: air-gapped networks, multi-layer authentication, quantum-resistant cryptography, hardware root-of-trust, anomaly detection at scale.</w:t>
      </w:r>
    </w:p>
    <w:p>
      <w:pPr>
        <w:pStyle w:val="Brdtekst"/>
        <w:numPr>
          <w:ilvl w:val="0"/>
          <w:numId w:val="13"/>
        </w:numPr>
        <w:tabs>
          <w:tab w:val="clear" w:pos="709"/>
          <w:tab w:val="left" w:pos="709" w:leader="none"/>
        </w:tabs>
        <w:bidi w:val="0"/>
        <w:ind w:left="709" w:hanging="283"/>
        <w:jc w:val="left"/>
        <w:rPr/>
      </w:pPr>
      <w:r>
        <w:rPr/>
        <w:t>Policy: compartmentalisation (“need-to-know”), security clearances, insider threat programmes.</w:t>
      </w:r>
    </w:p>
    <w:p>
      <w:pPr>
        <w:pStyle w:val="Brdtekst"/>
        <w:numPr>
          <w:ilvl w:val="0"/>
          <w:numId w:val="13"/>
        </w:numPr>
        <w:tabs>
          <w:tab w:val="clear" w:pos="709"/>
          <w:tab w:val="left" w:pos="709" w:leader="none"/>
        </w:tabs>
        <w:bidi w:val="0"/>
        <w:ind w:left="709" w:hanging="283"/>
        <w:jc w:val="left"/>
        <w:rPr/>
      </w:pPr>
      <w:r>
        <w:rPr/>
        <w:t>Regulatory/standards: NIST SP 800-53, DoD Zero Trust Architecture mandates (2021+), NATO cyber doctrines.</w:t>
      </w:r>
    </w:p>
    <w:p>
      <w:pPr>
        <w:pStyle w:val="Vandretlinje"/>
        <w:bidi w:val="0"/>
        <w:jc w:val="left"/>
        <w:rPr/>
      </w:pPr>
      <w:r>
        <w:rPr/>
      </w:r>
    </w:p>
    <w:p>
      <w:pPr>
        <w:pStyle w:val="Overskrift2"/>
        <w:bidi w:val="0"/>
        <w:jc w:val="left"/>
        <w:rPr/>
      </w:pPr>
      <w:r>
        <w:rPr/>
        <w:t>4.4 Cross-Case Analysis</w:t>
      </w:r>
    </w:p>
    <w:p>
      <w:pPr>
        <w:pStyle w:val="Brdtekst"/>
        <w:numPr>
          <w:ilvl w:val="0"/>
          <w:numId w:val="14"/>
        </w:numPr>
        <w:tabs>
          <w:tab w:val="clear" w:pos="709"/>
          <w:tab w:val="left" w:pos="709" w:leader="none"/>
        </w:tabs>
        <w:bidi w:val="0"/>
        <w:ind w:left="709" w:hanging="283"/>
        <w:jc w:val="left"/>
        <w:rPr/>
      </w:pPr>
      <w:r>
        <w:rPr>
          <w:rStyle w:val="Strkfremhvet"/>
        </w:rPr>
        <w:t>Medical:</w:t>
      </w:r>
      <w:r>
        <w:rPr/>
        <w:t xml:space="preserve"> High privacy sensitivity, but typically lower adversary capability. Risk lies in scale (millions of patients).</w:t>
      </w:r>
    </w:p>
    <w:p>
      <w:pPr>
        <w:pStyle w:val="Brdtekst"/>
        <w:numPr>
          <w:ilvl w:val="0"/>
          <w:numId w:val="14"/>
        </w:numPr>
        <w:tabs>
          <w:tab w:val="clear" w:pos="709"/>
          <w:tab w:val="left" w:pos="709" w:leader="none"/>
        </w:tabs>
        <w:bidi w:val="0"/>
        <w:ind w:left="709" w:hanging="283"/>
        <w:jc w:val="left"/>
        <w:rPr/>
      </w:pPr>
      <w:r>
        <w:rPr>
          <w:rStyle w:val="Strkfremhvet"/>
        </w:rPr>
        <w:t>Financial:</w:t>
      </w:r>
      <w:r>
        <w:rPr/>
        <w:t xml:space="preserve"> Adversaries motivated by money, both criminal and insider. Fast-moving systems with large systemic risk.</w:t>
      </w:r>
    </w:p>
    <w:p>
      <w:pPr>
        <w:pStyle w:val="Brdtekst"/>
        <w:numPr>
          <w:ilvl w:val="0"/>
          <w:numId w:val="14"/>
        </w:numPr>
        <w:tabs>
          <w:tab w:val="clear" w:pos="709"/>
          <w:tab w:val="left" w:pos="709" w:leader="none"/>
        </w:tabs>
        <w:bidi w:val="0"/>
        <w:ind w:left="709" w:hanging="283"/>
        <w:jc w:val="left"/>
        <w:rPr/>
      </w:pPr>
      <w:r>
        <w:rPr>
          <w:rStyle w:val="Strkfremhvet"/>
        </w:rPr>
        <w:t>Government/Military:</w:t>
      </w:r>
      <w:r>
        <w:rPr/>
        <w:t xml:space="preserve"> Adversaries motivated by power, including nation-states. Lower frequency but potentially existential consequences.</w:t>
      </w:r>
    </w:p>
    <w:p>
      <w:pPr>
        <w:pStyle w:val="Brdtekst"/>
        <w:bidi w:val="0"/>
        <w:jc w:val="left"/>
        <w:rPr/>
      </w:pPr>
      <w:r>
        <w:rPr>
          <w:rStyle w:val="Strkfremhvet"/>
        </w:rPr>
        <w:t>Observation:</w:t>
      </w:r>
      <w:r>
        <w:rPr/>
        <w:t xml:space="preserve"> The same SPR principles (confidentiality, integrity, availability, authenticity, accountability) appear in all three domains, but the adversary model and acceptable trade-offs vary dramatically.</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This expanded section (with three case studies, STRIDE breakdowns, attack trees, and FAIR-style analysis) should span </w:t>
      </w:r>
      <w:r>
        <w:rPr>
          <w:rStyle w:val="Strkfremhvet"/>
        </w:rPr>
        <w:t>6–8 pages</w:t>
      </w:r>
      <w:r>
        <w:rPr/>
        <w:t xml:space="preserve"> when laid out with diagrams and tables.</w:t>
      </w:r>
    </w:p>
    <w:p>
      <w:pPr>
        <w:pStyle w:val="Brdtekst"/>
        <w:bidi w:val="0"/>
        <w:spacing w:lineRule="auto" w:line="276" w:before="0" w:after="140"/>
        <w:jc w:val="left"/>
        <w:rPr/>
      </w:pPr>
      <w:r>
        <w:rPr/>
        <w:t xml:space="preserve">Would you like me to </w:t>
      </w:r>
      <w:r>
        <w:rPr>
          <w:rStyle w:val="Strkfremhvet"/>
        </w:rPr>
        <w:t>write this Section 4 in full prose (expanded like Section 2)</w:t>
      </w:r>
      <w:r>
        <w:rPr/>
        <w:t xml:space="preserve"> before we move to Section 5 (Discussion and Future Directions)?</w:t>
      </w:r>
    </w:p>
    <w:p>
      <w:pPr>
        <w:pStyle w:val="Overskrift5"/>
        <w:bidi w:val="0"/>
        <w:jc w:val="left"/>
        <w:rPr/>
      </w:pPr>
      <w:r>
        <w:rPr/>
        <w:t>Du sagde:</w:t>
      </w:r>
    </w:p>
    <w:p>
      <w:pPr>
        <w:pStyle w:val="Brdtekst"/>
        <w:bidi w:val="0"/>
        <w:jc w:val="left"/>
        <w:rPr/>
      </w:pPr>
      <w:r>
        <w:rPr/>
        <w:t>Yes, that would be good.</w:t>
      </w:r>
    </w:p>
    <w:p>
      <w:pPr>
        <w:pStyle w:val="Overskrift6"/>
        <w:bidi w:val="0"/>
        <w:jc w:val="left"/>
        <w:rPr/>
      </w:pPr>
      <w:r>
        <w:rPr/>
        <w:t>ChatGPT sagde:</w:t>
      </w:r>
    </w:p>
    <w:p>
      <w:pPr>
        <w:pStyle w:val="Brdtekst"/>
        <w:bidi w:val="0"/>
        <w:spacing w:lineRule="auto" w:line="276" w:before="0" w:after="140"/>
        <w:jc w:val="left"/>
        <w:rPr/>
      </w:pPr>
      <w:r>
        <w:rPr/>
        <w:t xml:space="preserve">Perfect — here’s the </w:t>
      </w:r>
      <w:r>
        <w:rPr>
          <w:rStyle w:val="Strkfremhvet"/>
        </w:rPr>
        <w:t>full expanded Section 4</w:t>
      </w:r>
      <w:r>
        <w:rPr/>
        <w:t xml:space="preserve"> in prose form, with all three case studies fleshed out. This should come out to around 6–8 pages once typeset with diagrams and tables.</w:t>
      </w:r>
    </w:p>
    <w:p>
      <w:pPr>
        <w:pStyle w:val="Vandretlinje"/>
        <w:suppressLineNumbers/>
        <w:pBdr>
          <w:bottom w:val="double" w:sz="2" w:space="0" w:color="808080"/>
        </w:pBdr>
        <w:bidi w:val="0"/>
        <w:spacing w:before="0" w:after="283"/>
        <w:jc w:val="left"/>
        <w:rPr/>
      </w:pPr>
      <w:r>
        <w:rPr/>
      </w:r>
    </w:p>
    <w:p>
      <w:pPr>
        <w:pStyle w:val="Overskrift1"/>
        <w:bidi w:val="0"/>
        <w:jc w:val="left"/>
        <w:rPr/>
      </w:pPr>
      <w:r>
        <w:rPr/>
        <w:t>4. Case Studies in Secure Data Systems</w:t>
      </w:r>
    </w:p>
    <w:p>
      <w:pPr>
        <w:pStyle w:val="Overskrift2"/>
        <w:bidi w:val="0"/>
        <w:jc w:val="left"/>
        <w:rPr/>
      </w:pPr>
      <w:r>
        <w:rPr/>
        <w:t>4.1 Medical Databases</w:t>
      </w:r>
    </w:p>
    <w:p>
      <w:pPr>
        <w:pStyle w:val="Overskrift3"/>
        <w:bidi w:val="0"/>
        <w:jc w:val="left"/>
        <w:rPr/>
      </w:pPr>
      <w:r>
        <w:rPr/>
        <w:t>4.1.1 Threat Landscape</w:t>
      </w:r>
    </w:p>
    <w:p>
      <w:pPr>
        <w:pStyle w:val="Brdtekst"/>
        <w:bidi w:val="0"/>
        <w:spacing w:lineRule="auto" w:line="276" w:before="0" w:after="140"/>
        <w:jc w:val="left"/>
        <w:rPr/>
      </w:pPr>
      <w:r>
        <w:rPr/>
        <w:t>Medical databases are an archetype of sensitive systems: they contain high-value data that is indispensable for patient care yet highly attractive to attackers. Personal health information can be monetised on the black market, leveraged for identity theft, or weaponised to embarrass public figures. Hospitals and clinics, however, often operate on constrained budgets and legacy infrastructure, making them soft targets. The rise of electronic health records and cloud-hosted health information exchanges has multiplied the attack surface.</w:t>
      </w:r>
    </w:p>
    <w:p>
      <w:pPr>
        <w:pStyle w:val="Brdtekst"/>
        <w:bidi w:val="0"/>
        <w:spacing w:lineRule="auto" w:line="276" w:before="0" w:after="140"/>
        <w:jc w:val="left"/>
        <w:rPr/>
      </w:pPr>
      <w:r>
        <w:rPr/>
        <w:t>Key threats include:</w:t>
      </w:r>
    </w:p>
    <w:p>
      <w:pPr>
        <w:pStyle w:val="Brdtekst"/>
        <w:numPr>
          <w:ilvl w:val="0"/>
          <w:numId w:val="15"/>
        </w:numPr>
        <w:tabs>
          <w:tab w:val="clear" w:pos="709"/>
          <w:tab w:val="left" w:pos="709" w:leader="none"/>
        </w:tabs>
        <w:bidi w:val="0"/>
        <w:ind w:left="709" w:hanging="283"/>
        <w:jc w:val="left"/>
        <w:rPr/>
      </w:pPr>
      <w:r>
        <w:rPr>
          <w:rStyle w:val="Strkfremhvet"/>
        </w:rPr>
        <w:t>Insider misuse</w:t>
      </w:r>
      <w:r>
        <w:rPr/>
        <w:t xml:space="preserve"> by clinicians or administrators accessing records beyond legitimate scope.</w:t>
      </w:r>
    </w:p>
    <w:p>
      <w:pPr>
        <w:pStyle w:val="Brdtekst"/>
        <w:numPr>
          <w:ilvl w:val="0"/>
          <w:numId w:val="15"/>
        </w:numPr>
        <w:tabs>
          <w:tab w:val="clear" w:pos="709"/>
          <w:tab w:val="left" w:pos="709" w:leader="none"/>
        </w:tabs>
        <w:bidi w:val="0"/>
        <w:ind w:left="709" w:hanging="283"/>
        <w:jc w:val="left"/>
        <w:rPr/>
      </w:pPr>
      <w:r>
        <w:rPr>
          <w:rStyle w:val="Strkfremhvet"/>
        </w:rPr>
        <w:t>Ransomware</w:t>
      </w:r>
      <w:r>
        <w:rPr/>
        <w:t xml:space="preserve"> infections that encrypt data and deny access during critical care operations.</w:t>
      </w:r>
    </w:p>
    <w:p>
      <w:pPr>
        <w:pStyle w:val="Brdtekst"/>
        <w:numPr>
          <w:ilvl w:val="0"/>
          <w:numId w:val="15"/>
        </w:numPr>
        <w:tabs>
          <w:tab w:val="clear" w:pos="709"/>
          <w:tab w:val="left" w:pos="709" w:leader="none"/>
        </w:tabs>
        <w:bidi w:val="0"/>
        <w:ind w:left="709" w:hanging="283"/>
        <w:jc w:val="left"/>
        <w:rPr/>
      </w:pPr>
      <w:r>
        <w:rPr>
          <w:rStyle w:val="Strkfremhvet"/>
        </w:rPr>
        <w:t>Cloud misconfiguration</w:t>
      </w:r>
      <w:r>
        <w:rPr/>
        <w:t>, such as unsecured storage buckets exposing millions of records.</w:t>
      </w:r>
    </w:p>
    <w:p>
      <w:pPr>
        <w:pStyle w:val="Brdtekst"/>
        <w:numPr>
          <w:ilvl w:val="0"/>
          <w:numId w:val="15"/>
        </w:numPr>
        <w:tabs>
          <w:tab w:val="clear" w:pos="709"/>
          <w:tab w:val="left" w:pos="709" w:leader="none"/>
        </w:tabs>
        <w:bidi w:val="0"/>
        <w:ind w:left="709" w:hanging="283"/>
        <w:jc w:val="left"/>
        <w:rPr/>
      </w:pPr>
      <w:r>
        <w:rPr>
          <w:rStyle w:val="Strkfremhvet"/>
        </w:rPr>
        <w:t>Data aggregation risks</w:t>
      </w:r>
      <w:r>
        <w:rPr/>
        <w:t xml:space="preserve"> in which combining anonymised datasets enables re-identification.</w:t>
      </w:r>
    </w:p>
    <w:p>
      <w:pPr>
        <w:pStyle w:val="Overskrift3"/>
        <w:bidi w:val="0"/>
        <w:jc w:val="left"/>
        <w:rPr/>
      </w:pPr>
      <w:r>
        <w:rPr/>
        <w:t>4.1.2 STRIDE Modelling</w:t>
      </w:r>
    </w:p>
    <w:p>
      <w:pPr>
        <w:pStyle w:val="Brdtekst"/>
        <w:bidi w:val="0"/>
        <w:spacing w:lineRule="auto" w:line="276" w:before="0" w:after="140"/>
        <w:jc w:val="left"/>
        <w:rPr/>
      </w:pPr>
      <w:r>
        <w:rPr/>
        <w:t>Applying STRIDE to a medical database clarifies adversary goals:</w:t>
      </w:r>
    </w:p>
    <w:p>
      <w:pPr>
        <w:pStyle w:val="Brdtekst"/>
        <w:numPr>
          <w:ilvl w:val="0"/>
          <w:numId w:val="16"/>
        </w:numPr>
        <w:tabs>
          <w:tab w:val="clear" w:pos="709"/>
          <w:tab w:val="left" w:pos="709" w:leader="none"/>
        </w:tabs>
        <w:bidi w:val="0"/>
        <w:ind w:left="709" w:hanging="283"/>
        <w:jc w:val="left"/>
        <w:rPr/>
      </w:pPr>
      <w:r>
        <w:rPr>
          <w:rStyle w:val="Strkfremhvet"/>
        </w:rPr>
        <w:t>Spoofing:</w:t>
      </w:r>
      <w:r>
        <w:rPr/>
        <w:t xml:space="preserve"> Impersonating doctors to access records.</w:t>
      </w:r>
    </w:p>
    <w:p>
      <w:pPr>
        <w:pStyle w:val="Brdtekst"/>
        <w:numPr>
          <w:ilvl w:val="0"/>
          <w:numId w:val="16"/>
        </w:numPr>
        <w:tabs>
          <w:tab w:val="clear" w:pos="709"/>
          <w:tab w:val="left" w:pos="709" w:leader="none"/>
        </w:tabs>
        <w:bidi w:val="0"/>
        <w:ind w:left="709" w:hanging="283"/>
        <w:jc w:val="left"/>
        <w:rPr/>
      </w:pPr>
      <w:r>
        <w:rPr>
          <w:rStyle w:val="Strkfremhvet"/>
        </w:rPr>
        <w:t>Tampering:</w:t>
      </w:r>
      <w:r>
        <w:rPr/>
        <w:t xml:space="preserve"> Modifying prescriptions or diagnoses.</w:t>
      </w:r>
    </w:p>
    <w:p>
      <w:pPr>
        <w:pStyle w:val="Brdtekst"/>
        <w:numPr>
          <w:ilvl w:val="0"/>
          <w:numId w:val="16"/>
        </w:numPr>
        <w:tabs>
          <w:tab w:val="clear" w:pos="709"/>
          <w:tab w:val="left" w:pos="709" w:leader="none"/>
        </w:tabs>
        <w:bidi w:val="0"/>
        <w:ind w:left="709" w:hanging="283"/>
        <w:jc w:val="left"/>
        <w:rPr/>
      </w:pPr>
      <w:r>
        <w:rPr>
          <w:rStyle w:val="Strkfremhvet"/>
        </w:rPr>
        <w:t>Repudiation:</w:t>
      </w:r>
      <w:r>
        <w:rPr/>
        <w:t xml:space="preserve"> Staff denying unauthorised access without strong audit trails.</w:t>
      </w:r>
    </w:p>
    <w:p>
      <w:pPr>
        <w:pStyle w:val="Brdtekst"/>
        <w:numPr>
          <w:ilvl w:val="0"/>
          <w:numId w:val="16"/>
        </w:numPr>
        <w:tabs>
          <w:tab w:val="clear" w:pos="709"/>
          <w:tab w:val="left" w:pos="709" w:leader="none"/>
        </w:tabs>
        <w:bidi w:val="0"/>
        <w:ind w:left="709" w:hanging="283"/>
        <w:jc w:val="left"/>
        <w:rPr/>
      </w:pPr>
      <w:r>
        <w:rPr>
          <w:rStyle w:val="Strkfremhvet"/>
        </w:rPr>
        <w:t>Information Disclosure:</w:t>
      </w:r>
      <w:r>
        <w:rPr/>
        <w:t xml:space="preserve"> Breaches through insecure APIs or backups.</w:t>
      </w:r>
    </w:p>
    <w:p>
      <w:pPr>
        <w:pStyle w:val="Brdtekst"/>
        <w:numPr>
          <w:ilvl w:val="0"/>
          <w:numId w:val="16"/>
        </w:numPr>
        <w:tabs>
          <w:tab w:val="clear" w:pos="709"/>
          <w:tab w:val="left" w:pos="709" w:leader="none"/>
        </w:tabs>
        <w:bidi w:val="0"/>
        <w:ind w:left="709" w:hanging="283"/>
        <w:jc w:val="left"/>
        <w:rPr/>
      </w:pPr>
      <w:r>
        <w:rPr>
          <w:rStyle w:val="Strkfremhvet"/>
        </w:rPr>
        <w:t>Denial of Service:</w:t>
      </w:r>
      <w:r>
        <w:rPr/>
        <w:t xml:space="preserve"> Ransomware or DDoS preventing data availability.</w:t>
      </w:r>
    </w:p>
    <w:p>
      <w:pPr>
        <w:pStyle w:val="Brdtekst"/>
        <w:numPr>
          <w:ilvl w:val="0"/>
          <w:numId w:val="16"/>
        </w:numPr>
        <w:tabs>
          <w:tab w:val="clear" w:pos="709"/>
          <w:tab w:val="left" w:pos="709" w:leader="none"/>
        </w:tabs>
        <w:bidi w:val="0"/>
        <w:ind w:left="709" w:hanging="283"/>
        <w:jc w:val="left"/>
        <w:rPr/>
      </w:pPr>
      <w:r>
        <w:rPr>
          <w:rStyle w:val="Strkfremhvet"/>
        </w:rPr>
        <w:t>Elevation of Privilege:</w:t>
      </w:r>
      <w:r>
        <w:rPr/>
        <w:t xml:space="preserve"> Exploiting weak admin controls to gain full DB access.</w:t>
      </w:r>
    </w:p>
    <w:p>
      <w:pPr>
        <w:pStyle w:val="Overskrift3"/>
        <w:bidi w:val="0"/>
        <w:jc w:val="left"/>
        <w:rPr/>
      </w:pPr>
      <w:r>
        <w:rPr/>
        <w:t>4.1.3 Attack Tree &amp; Risk Analysis</w:t>
      </w:r>
    </w:p>
    <w:p>
      <w:pPr>
        <w:pStyle w:val="Brdtekst"/>
        <w:bidi w:val="0"/>
        <w:spacing w:lineRule="auto" w:line="276" w:before="0" w:after="140"/>
        <w:jc w:val="left"/>
        <w:rPr/>
      </w:pPr>
      <w:r>
        <w:rPr/>
        <w:t>The root event “Compromise medical data” decomposes into insider abuse, ransomware infection, phishing staff, or exploiting cloud misconfigurations. Using the FAIR model, the most probable and damaging scenario is ransomware: likelihood high, impact catastrophic, leading to patient harm as well as reputational and regulatory consequences. Insider abuse is also frequent but more contained in impact.</w:t>
      </w:r>
    </w:p>
    <w:p>
      <w:pPr>
        <w:pStyle w:val="Overskrift3"/>
        <w:bidi w:val="0"/>
        <w:jc w:val="left"/>
        <w:rPr/>
      </w:pPr>
      <w:r>
        <w:rPr/>
        <w:t>4.1.4 Mitigations &amp; Controls</w:t>
      </w:r>
    </w:p>
    <w:p>
      <w:pPr>
        <w:pStyle w:val="Brdtekst"/>
        <w:numPr>
          <w:ilvl w:val="0"/>
          <w:numId w:val="17"/>
        </w:numPr>
        <w:tabs>
          <w:tab w:val="clear" w:pos="709"/>
          <w:tab w:val="left" w:pos="709" w:leader="none"/>
        </w:tabs>
        <w:bidi w:val="0"/>
        <w:ind w:left="709" w:hanging="283"/>
        <w:jc w:val="left"/>
        <w:rPr/>
      </w:pPr>
      <w:r>
        <w:rPr>
          <w:rStyle w:val="Strkfremhvet"/>
        </w:rPr>
        <w:t>Technical:</w:t>
      </w:r>
      <w:r>
        <w:rPr/>
        <w:t xml:space="preserve"> Encryption in transit and at rest; strict role-based access; differential privacy for research datasets; anomaly detection for unusual access patterns; secure enclaves for sensitive computations.</w:t>
      </w:r>
    </w:p>
    <w:p>
      <w:pPr>
        <w:pStyle w:val="Brdtekst"/>
        <w:numPr>
          <w:ilvl w:val="0"/>
          <w:numId w:val="17"/>
        </w:numPr>
        <w:tabs>
          <w:tab w:val="clear" w:pos="709"/>
          <w:tab w:val="left" w:pos="709" w:leader="none"/>
        </w:tabs>
        <w:bidi w:val="0"/>
        <w:ind w:left="709" w:hanging="283"/>
        <w:jc w:val="left"/>
        <w:rPr/>
      </w:pPr>
      <w:r>
        <w:rPr>
          <w:rStyle w:val="Strkfremhvet"/>
        </w:rPr>
        <w:t>Policy:</w:t>
      </w:r>
      <w:r>
        <w:rPr/>
        <w:t xml:space="preserve"> Enforce consent management, periodic reviews of access privileges, strong audit logging.</w:t>
      </w:r>
    </w:p>
    <w:p>
      <w:pPr>
        <w:pStyle w:val="Brdtekst"/>
        <w:numPr>
          <w:ilvl w:val="0"/>
          <w:numId w:val="17"/>
        </w:numPr>
        <w:tabs>
          <w:tab w:val="clear" w:pos="709"/>
          <w:tab w:val="left" w:pos="709" w:leader="none"/>
        </w:tabs>
        <w:bidi w:val="0"/>
        <w:ind w:left="709" w:hanging="283"/>
        <w:jc w:val="left"/>
        <w:rPr/>
      </w:pPr>
      <w:r>
        <w:rPr>
          <w:rStyle w:val="Strkfremhvet"/>
        </w:rPr>
        <w:t>Regulatory:</w:t>
      </w:r>
      <w:r>
        <w:rPr/>
        <w:t xml:space="preserve"> Compliance with GDPR and HIPAA; mandatory breach notifications; data minimisation principles.</w:t>
      </w:r>
    </w:p>
    <w:p>
      <w:pPr>
        <w:pStyle w:val="Vandretlinje"/>
        <w:bidi w:val="0"/>
        <w:jc w:val="left"/>
        <w:rPr/>
      </w:pPr>
      <w:r>
        <w:rPr/>
      </w:r>
    </w:p>
    <w:p>
      <w:pPr>
        <w:pStyle w:val="Overskrift2"/>
        <w:bidi w:val="0"/>
        <w:jc w:val="left"/>
        <w:rPr/>
      </w:pPr>
      <w:r>
        <w:rPr/>
        <w:t>4.2 Financial Data Systems</w:t>
      </w:r>
    </w:p>
    <w:p>
      <w:pPr>
        <w:pStyle w:val="Overskrift3"/>
        <w:bidi w:val="0"/>
        <w:jc w:val="left"/>
        <w:rPr/>
      </w:pPr>
      <w:r>
        <w:rPr/>
        <w:t>4.2.1 Threat Landscape</w:t>
      </w:r>
    </w:p>
    <w:p>
      <w:pPr>
        <w:pStyle w:val="Brdtekst"/>
        <w:bidi w:val="0"/>
        <w:spacing w:lineRule="auto" w:line="276" w:before="0" w:after="140"/>
        <w:jc w:val="left"/>
        <w:rPr/>
      </w:pPr>
      <w:r>
        <w:rPr/>
        <w:t>Financial data systems underpin payments, trading, and banking — sectors with immediate monetary incentives for attackers. Adversaries range from cybercriminals and fraud syndicates to rogue traders and nation-states pursuing financial destabilisation.</w:t>
      </w:r>
    </w:p>
    <w:p>
      <w:pPr>
        <w:pStyle w:val="Brdtekst"/>
        <w:bidi w:val="0"/>
        <w:spacing w:lineRule="auto" w:line="276" w:before="0" w:after="140"/>
        <w:jc w:val="left"/>
        <w:rPr/>
      </w:pPr>
      <w:r>
        <w:rPr/>
        <w:t>Prominent threats include:</w:t>
      </w:r>
    </w:p>
    <w:p>
      <w:pPr>
        <w:pStyle w:val="Brdtekst"/>
        <w:numPr>
          <w:ilvl w:val="0"/>
          <w:numId w:val="18"/>
        </w:numPr>
        <w:tabs>
          <w:tab w:val="clear" w:pos="709"/>
          <w:tab w:val="left" w:pos="709" w:leader="none"/>
        </w:tabs>
        <w:bidi w:val="0"/>
        <w:ind w:left="709" w:hanging="283"/>
        <w:jc w:val="left"/>
        <w:rPr/>
      </w:pPr>
      <w:r>
        <w:rPr>
          <w:rStyle w:val="Strkfremhvet"/>
        </w:rPr>
        <w:t>Payment fraud</w:t>
      </w:r>
      <w:r>
        <w:rPr/>
        <w:t>, such as account takeover or compromised APIs.</w:t>
      </w:r>
    </w:p>
    <w:p>
      <w:pPr>
        <w:pStyle w:val="Brdtekst"/>
        <w:numPr>
          <w:ilvl w:val="0"/>
          <w:numId w:val="18"/>
        </w:numPr>
        <w:tabs>
          <w:tab w:val="clear" w:pos="709"/>
          <w:tab w:val="left" w:pos="709" w:leader="none"/>
        </w:tabs>
        <w:bidi w:val="0"/>
        <w:ind w:left="709" w:hanging="283"/>
        <w:jc w:val="left"/>
        <w:rPr/>
      </w:pPr>
      <w:r>
        <w:rPr>
          <w:rStyle w:val="Strkfremhvet"/>
        </w:rPr>
        <w:t>Market manipulation</w:t>
      </w:r>
      <w:r>
        <w:rPr/>
        <w:t>, exploiting high-frequency trading latency or insider knowledge.</w:t>
      </w:r>
    </w:p>
    <w:p>
      <w:pPr>
        <w:pStyle w:val="Brdtekst"/>
        <w:numPr>
          <w:ilvl w:val="0"/>
          <w:numId w:val="18"/>
        </w:numPr>
        <w:tabs>
          <w:tab w:val="clear" w:pos="709"/>
          <w:tab w:val="left" w:pos="709" w:leader="none"/>
        </w:tabs>
        <w:bidi w:val="0"/>
        <w:ind w:left="709" w:hanging="283"/>
        <w:jc w:val="left"/>
        <w:rPr/>
      </w:pPr>
      <w:r>
        <w:rPr>
          <w:rStyle w:val="Strkfremhvet"/>
        </w:rPr>
        <w:t>Cryptocurrency asset theft</w:t>
      </w:r>
      <w:r>
        <w:rPr/>
        <w:t>, from exchange hacks to private key compromise.</w:t>
      </w:r>
    </w:p>
    <w:p>
      <w:pPr>
        <w:pStyle w:val="Brdtekst"/>
        <w:numPr>
          <w:ilvl w:val="0"/>
          <w:numId w:val="18"/>
        </w:numPr>
        <w:tabs>
          <w:tab w:val="clear" w:pos="709"/>
          <w:tab w:val="left" w:pos="709" w:leader="none"/>
        </w:tabs>
        <w:bidi w:val="0"/>
        <w:ind w:left="709" w:hanging="283"/>
        <w:jc w:val="left"/>
        <w:rPr/>
      </w:pPr>
      <w:r>
        <w:rPr>
          <w:rStyle w:val="Strkfremhvet"/>
        </w:rPr>
        <w:t>Insider threats</w:t>
      </w:r>
      <w:r>
        <w:rPr/>
        <w:t>, such as rogue employees executing unauthorised trades.</w:t>
      </w:r>
    </w:p>
    <w:p>
      <w:pPr>
        <w:pStyle w:val="Overskrift3"/>
        <w:bidi w:val="0"/>
        <w:jc w:val="left"/>
        <w:rPr/>
      </w:pPr>
      <w:r>
        <w:rPr/>
        <w:t>4.2.2 STRIDE Modelling</w:t>
      </w:r>
    </w:p>
    <w:p>
      <w:pPr>
        <w:pStyle w:val="Brdtekst"/>
        <w:numPr>
          <w:ilvl w:val="0"/>
          <w:numId w:val="19"/>
        </w:numPr>
        <w:tabs>
          <w:tab w:val="clear" w:pos="709"/>
          <w:tab w:val="left" w:pos="709" w:leader="none"/>
        </w:tabs>
        <w:bidi w:val="0"/>
        <w:ind w:left="709" w:hanging="283"/>
        <w:jc w:val="left"/>
        <w:rPr/>
      </w:pPr>
      <w:r>
        <w:rPr>
          <w:rStyle w:val="Strkfremhvet"/>
        </w:rPr>
        <w:t>Spoofing:</w:t>
      </w:r>
      <w:r>
        <w:rPr/>
        <w:t xml:space="preserve"> Impersonating traders or customers to initiate transactions.</w:t>
      </w:r>
    </w:p>
    <w:p>
      <w:pPr>
        <w:pStyle w:val="Brdtekst"/>
        <w:numPr>
          <w:ilvl w:val="0"/>
          <w:numId w:val="19"/>
        </w:numPr>
        <w:tabs>
          <w:tab w:val="clear" w:pos="709"/>
          <w:tab w:val="left" w:pos="709" w:leader="none"/>
        </w:tabs>
        <w:bidi w:val="0"/>
        <w:ind w:left="709" w:hanging="283"/>
        <w:jc w:val="left"/>
        <w:rPr/>
      </w:pPr>
      <w:r>
        <w:rPr>
          <w:rStyle w:val="Strkfremhvet"/>
        </w:rPr>
        <w:t>Tampering:</w:t>
      </w:r>
      <w:r>
        <w:rPr/>
        <w:t xml:space="preserve"> Altering logs to conceal fraud.</w:t>
      </w:r>
    </w:p>
    <w:p>
      <w:pPr>
        <w:pStyle w:val="Brdtekst"/>
        <w:numPr>
          <w:ilvl w:val="0"/>
          <w:numId w:val="19"/>
        </w:numPr>
        <w:tabs>
          <w:tab w:val="clear" w:pos="709"/>
          <w:tab w:val="left" w:pos="709" w:leader="none"/>
        </w:tabs>
        <w:bidi w:val="0"/>
        <w:ind w:left="709" w:hanging="283"/>
        <w:jc w:val="left"/>
        <w:rPr/>
      </w:pPr>
      <w:r>
        <w:rPr>
          <w:rStyle w:val="Strkfremhvet"/>
        </w:rPr>
        <w:t>Repudiation:</w:t>
      </w:r>
      <w:r>
        <w:rPr/>
        <w:t xml:space="preserve"> Traders denying risky positions after losses.</w:t>
      </w:r>
    </w:p>
    <w:p>
      <w:pPr>
        <w:pStyle w:val="Brdtekst"/>
        <w:numPr>
          <w:ilvl w:val="0"/>
          <w:numId w:val="19"/>
        </w:numPr>
        <w:tabs>
          <w:tab w:val="clear" w:pos="709"/>
          <w:tab w:val="left" w:pos="709" w:leader="none"/>
        </w:tabs>
        <w:bidi w:val="0"/>
        <w:ind w:left="709" w:hanging="283"/>
        <w:jc w:val="left"/>
        <w:rPr/>
      </w:pPr>
      <w:r>
        <w:rPr>
          <w:rStyle w:val="Strkfremhvet"/>
        </w:rPr>
        <w:t>Information Disclosure:</w:t>
      </w:r>
      <w:r>
        <w:rPr/>
        <w:t xml:space="preserve"> Leaks of customer data or proprietary trading algorithms.</w:t>
      </w:r>
    </w:p>
    <w:p>
      <w:pPr>
        <w:pStyle w:val="Brdtekst"/>
        <w:numPr>
          <w:ilvl w:val="0"/>
          <w:numId w:val="19"/>
        </w:numPr>
        <w:tabs>
          <w:tab w:val="clear" w:pos="709"/>
          <w:tab w:val="left" w:pos="709" w:leader="none"/>
        </w:tabs>
        <w:bidi w:val="0"/>
        <w:ind w:left="709" w:hanging="283"/>
        <w:jc w:val="left"/>
        <w:rPr/>
      </w:pPr>
      <w:r>
        <w:rPr>
          <w:rStyle w:val="Strkfremhvet"/>
        </w:rPr>
        <w:t>Denial of Service:</w:t>
      </w:r>
      <w:r>
        <w:rPr/>
        <w:t xml:space="preserve"> DDoS attacks against exchanges or clearing systems.</w:t>
      </w:r>
    </w:p>
    <w:p>
      <w:pPr>
        <w:pStyle w:val="Brdtekst"/>
        <w:numPr>
          <w:ilvl w:val="0"/>
          <w:numId w:val="19"/>
        </w:numPr>
        <w:tabs>
          <w:tab w:val="clear" w:pos="709"/>
          <w:tab w:val="left" w:pos="709" w:leader="none"/>
        </w:tabs>
        <w:bidi w:val="0"/>
        <w:ind w:left="709" w:hanging="283"/>
        <w:jc w:val="left"/>
        <w:rPr/>
      </w:pPr>
      <w:r>
        <w:rPr>
          <w:rStyle w:val="Strkfremhvet"/>
        </w:rPr>
        <w:t>Elevation of Privilege:</w:t>
      </w:r>
      <w:r>
        <w:rPr/>
        <w:t xml:space="preserve"> Abuse of privileged accounts in payment gateways.</w:t>
      </w:r>
    </w:p>
    <w:p>
      <w:pPr>
        <w:pStyle w:val="Overskrift3"/>
        <w:bidi w:val="0"/>
        <w:jc w:val="left"/>
        <w:rPr/>
      </w:pPr>
      <w:r>
        <w:rPr/>
        <w:t>4.2.3 Attack Tree &amp; Risk Analysis</w:t>
      </w:r>
    </w:p>
    <w:p>
      <w:pPr>
        <w:pStyle w:val="Brdtekst"/>
        <w:bidi w:val="0"/>
        <w:spacing w:lineRule="auto" w:line="276" w:before="0" w:after="140"/>
        <w:jc w:val="left"/>
        <w:rPr/>
      </w:pPr>
      <w:r>
        <w:rPr/>
        <w:t>The root event “Financial loss or fraud” branches into payment fraud, market manipulation, and crypto asset theft. FAIR analysis highlights payment fraud as high frequency/high impact, while insider trading or HFT manipulation are lower frequency but potentially catastrophic in systemic terms.</w:t>
      </w:r>
    </w:p>
    <w:p>
      <w:pPr>
        <w:pStyle w:val="Overskrift3"/>
        <w:bidi w:val="0"/>
        <w:jc w:val="left"/>
        <w:rPr/>
      </w:pPr>
      <w:r>
        <w:rPr/>
        <w:t>4.2.4 Mitigations &amp; Controls</w:t>
      </w:r>
    </w:p>
    <w:p>
      <w:pPr>
        <w:pStyle w:val="Brdtekst"/>
        <w:numPr>
          <w:ilvl w:val="0"/>
          <w:numId w:val="20"/>
        </w:numPr>
        <w:tabs>
          <w:tab w:val="clear" w:pos="709"/>
          <w:tab w:val="left" w:pos="709" w:leader="none"/>
        </w:tabs>
        <w:bidi w:val="0"/>
        <w:ind w:left="709" w:hanging="283"/>
        <w:jc w:val="left"/>
        <w:rPr/>
      </w:pPr>
      <w:r>
        <w:rPr>
          <w:rStyle w:val="Strkfremhvet"/>
        </w:rPr>
        <w:t>Technical:</w:t>
      </w:r>
      <w:r>
        <w:rPr/>
        <w:t xml:space="preserve"> Multi-factor authentication; continuous transaction monitoring with machine learning anomaly detection; secure enclaves for transaction signing; hardware security modules (HSMs) for key protection.</w:t>
      </w:r>
    </w:p>
    <w:p>
      <w:pPr>
        <w:pStyle w:val="Brdtekst"/>
        <w:numPr>
          <w:ilvl w:val="0"/>
          <w:numId w:val="20"/>
        </w:numPr>
        <w:tabs>
          <w:tab w:val="clear" w:pos="709"/>
          <w:tab w:val="left" w:pos="709" w:leader="none"/>
        </w:tabs>
        <w:bidi w:val="0"/>
        <w:ind w:left="709" w:hanging="283"/>
        <w:jc w:val="left"/>
        <w:rPr/>
      </w:pPr>
      <w:r>
        <w:rPr>
          <w:rStyle w:val="Strkfremhvet"/>
        </w:rPr>
        <w:t>Policy:</w:t>
      </w:r>
      <w:r>
        <w:rPr/>
        <w:t xml:space="preserve"> Segregation of duties; trade surveillance for compliance with market abuse laws; rapid incident response procedures.</w:t>
      </w:r>
    </w:p>
    <w:p>
      <w:pPr>
        <w:pStyle w:val="Brdtekst"/>
        <w:numPr>
          <w:ilvl w:val="0"/>
          <w:numId w:val="20"/>
        </w:numPr>
        <w:tabs>
          <w:tab w:val="clear" w:pos="709"/>
          <w:tab w:val="left" w:pos="709" w:leader="none"/>
        </w:tabs>
        <w:bidi w:val="0"/>
        <w:ind w:left="709" w:hanging="283"/>
        <w:jc w:val="left"/>
        <w:rPr/>
      </w:pPr>
      <w:r>
        <w:rPr>
          <w:rStyle w:val="Strkfremhvet"/>
        </w:rPr>
        <w:t>Regulatory:</w:t>
      </w:r>
      <w:r>
        <w:rPr/>
        <w:t xml:space="preserve"> PSD2 strong customer authentication; Basel III/IV capital requirements; SEC/FCA rules; MiCA regulation for crypto assets.</w:t>
      </w:r>
    </w:p>
    <w:p>
      <w:pPr>
        <w:pStyle w:val="Vandretlinje"/>
        <w:bidi w:val="0"/>
        <w:jc w:val="left"/>
        <w:rPr/>
      </w:pPr>
      <w:r>
        <w:rPr/>
      </w:r>
    </w:p>
    <w:p>
      <w:pPr>
        <w:pStyle w:val="Overskrift2"/>
        <w:bidi w:val="0"/>
        <w:jc w:val="left"/>
        <w:rPr/>
      </w:pPr>
      <w:r>
        <w:rPr/>
        <w:t>4.3 Government and Military Systems (Defense Case Study)</w:t>
      </w:r>
    </w:p>
    <w:p>
      <w:pPr>
        <w:pStyle w:val="Overskrift3"/>
        <w:bidi w:val="0"/>
        <w:jc w:val="left"/>
        <w:rPr/>
      </w:pPr>
      <w:r>
        <w:rPr/>
        <w:t>4.3.1 Threat Landscape</w:t>
      </w:r>
    </w:p>
    <w:p>
      <w:pPr>
        <w:pStyle w:val="Brdtekst"/>
        <w:bidi w:val="0"/>
        <w:spacing w:lineRule="auto" w:line="276" w:before="0" w:after="140"/>
        <w:jc w:val="left"/>
        <w:rPr/>
      </w:pPr>
      <w:r>
        <w:rPr/>
        <w:t>Government and military systems occupy a different threat environment altogether. Here, adversaries include peer nation-states and advanced persistent threats (APTs) with resources far beyond typical criminal actors. The objectives are often strategic rather than financial: espionage, disruption of command-and-control, or sabotage of critical infrastructure.</w:t>
      </w:r>
    </w:p>
    <w:p>
      <w:pPr>
        <w:pStyle w:val="Brdtekst"/>
        <w:bidi w:val="0"/>
        <w:spacing w:lineRule="auto" w:line="276" w:before="0" w:after="140"/>
        <w:jc w:val="left"/>
        <w:rPr/>
      </w:pPr>
      <w:r>
        <w:rPr/>
        <w:t>Examples include:</w:t>
      </w:r>
    </w:p>
    <w:p>
      <w:pPr>
        <w:pStyle w:val="Brdtekst"/>
        <w:numPr>
          <w:ilvl w:val="0"/>
          <w:numId w:val="21"/>
        </w:numPr>
        <w:tabs>
          <w:tab w:val="clear" w:pos="709"/>
          <w:tab w:val="left" w:pos="709" w:leader="none"/>
        </w:tabs>
        <w:bidi w:val="0"/>
        <w:ind w:left="709" w:hanging="283"/>
        <w:jc w:val="left"/>
        <w:rPr/>
      </w:pPr>
      <w:r>
        <w:rPr>
          <w:rStyle w:val="Strkfremhvet"/>
        </w:rPr>
        <w:t>Cyber-espionage campaigns</w:t>
      </w:r>
      <w:r>
        <w:rPr/>
        <w:t xml:space="preserve"> (e.g., alleged Chinese APT intrusions into U.S. defense contractors).</w:t>
      </w:r>
    </w:p>
    <w:p>
      <w:pPr>
        <w:pStyle w:val="Brdtekst"/>
        <w:numPr>
          <w:ilvl w:val="0"/>
          <w:numId w:val="21"/>
        </w:numPr>
        <w:tabs>
          <w:tab w:val="clear" w:pos="709"/>
          <w:tab w:val="left" w:pos="709" w:leader="none"/>
        </w:tabs>
        <w:bidi w:val="0"/>
        <w:ind w:left="709" w:hanging="283"/>
        <w:jc w:val="left"/>
        <w:rPr/>
      </w:pPr>
      <w:r>
        <w:rPr>
          <w:rStyle w:val="Strkfremhvet"/>
        </w:rPr>
        <w:t>Insider leaks</w:t>
      </w:r>
      <w:r>
        <w:rPr/>
        <w:t xml:space="preserve"> (Snowden, Manning) that expose classified material.</w:t>
      </w:r>
    </w:p>
    <w:p>
      <w:pPr>
        <w:pStyle w:val="Brdtekst"/>
        <w:numPr>
          <w:ilvl w:val="0"/>
          <w:numId w:val="21"/>
        </w:numPr>
        <w:tabs>
          <w:tab w:val="clear" w:pos="709"/>
          <w:tab w:val="left" w:pos="709" w:leader="none"/>
        </w:tabs>
        <w:bidi w:val="0"/>
        <w:ind w:left="709" w:hanging="283"/>
        <w:jc w:val="left"/>
        <w:rPr/>
      </w:pPr>
      <w:r>
        <w:rPr>
          <w:rStyle w:val="Strkfremhvet"/>
        </w:rPr>
        <w:t>Supply-chain compromises</w:t>
      </w:r>
      <w:r>
        <w:rPr/>
        <w:t>, inserting backdoors into hardware or software before deployment.</w:t>
      </w:r>
    </w:p>
    <w:p>
      <w:pPr>
        <w:pStyle w:val="Brdtekst"/>
        <w:numPr>
          <w:ilvl w:val="0"/>
          <w:numId w:val="21"/>
        </w:numPr>
        <w:tabs>
          <w:tab w:val="clear" w:pos="709"/>
          <w:tab w:val="left" w:pos="709" w:leader="none"/>
        </w:tabs>
        <w:bidi w:val="0"/>
        <w:ind w:left="709" w:hanging="283"/>
        <w:jc w:val="left"/>
        <w:rPr/>
      </w:pPr>
      <w:r>
        <w:rPr>
          <w:rStyle w:val="Strkfremhvet"/>
        </w:rPr>
        <w:t>Disruption of military satellites, radar, or communication systems.</w:t>
      </w:r>
    </w:p>
    <w:p>
      <w:pPr>
        <w:pStyle w:val="Overskrift3"/>
        <w:bidi w:val="0"/>
        <w:jc w:val="left"/>
        <w:rPr/>
      </w:pPr>
      <w:r>
        <w:rPr/>
        <w:t>4.3.2 STRIDE Modelling</w:t>
      </w:r>
    </w:p>
    <w:p>
      <w:pPr>
        <w:pStyle w:val="Brdtekst"/>
        <w:numPr>
          <w:ilvl w:val="0"/>
          <w:numId w:val="22"/>
        </w:numPr>
        <w:tabs>
          <w:tab w:val="clear" w:pos="709"/>
          <w:tab w:val="left" w:pos="709" w:leader="none"/>
        </w:tabs>
        <w:bidi w:val="0"/>
        <w:ind w:left="709" w:hanging="283"/>
        <w:jc w:val="left"/>
        <w:rPr/>
      </w:pPr>
      <w:r>
        <w:rPr>
          <w:rStyle w:val="Strkfremhvet"/>
        </w:rPr>
        <w:t>Spoofing:</w:t>
      </w:r>
      <w:r>
        <w:rPr/>
        <w:t xml:space="preserve"> Forged identities in command hierarchies or compromised credentials.</w:t>
      </w:r>
    </w:p>
    <w:p>
      <w:pPr>
        <w:pStyle w:val="Brdtekst"/>
        <w:numPr>
          <w:ilvl w:val="0"/>
          <w:numId w:val="22"/>
        </w:numPr>
        <w:tabs>
          <w:tab w:val="clear" w:pos="709"/>
          <w:tab w:val="left" w:pos="709" w:leader="none"/>
        </w:tabs>
        <w:bidi w:val="0"/>
        <w:ind w:left="709" w:hanging="283"/>
        <w:jc w:val="left"/>
        <w:rPr/>
      </w:pPr>
      <w:r>
        <w:rPr>
          <w:rStyle w:val="Strkfremhvet"/>
        </w:rPr>
        <w:t>Tampering:</w:t>
      </w:r>
      <w:r>
        <w:rPr/>
        <w:t xml:space="preserve"> Altering intelligence data or orders in transit.</w:t>
      </w:r>
    </w:p>
    <w:p>
      <w:pPr>
        <w:pStyle w:val="Brdtekst"/>
        <w:numPr>
          <w:ilvl w:val="0"/>
          <w:numId w:val="22"/>
        </w:numPr>
        <w:tabs>
          <w:tab w:val="clear" w:pos="709"/>
          <w:tab w:val="left" w:pos="709" w:leader="none"/>
        </w:tabs>
        <w:bidi w:val="0"/>
        <w:ind w:left="709" w:hanging="283"/>
        <w:jc w:val="left"/>
        <w:rPr/>
      </w:pPr>
      <w:r>
        <w:rPr>
          <w:rStyle w:val="Strkfremhvet"/>
        </w:rPr>
        <w:t>Repudiation:</w:t>
      </w:r>
      <w:r>
        <w:rPr/>
        <w:t xml:space="preserve"> Difficulty in attributing insider vs external adversaries.</w:t>
      </w:r>
    </w:p>
    <w:p>
      <w:pPr>
        <w:pStyle w:val="Brdtekst"/>
        <w:numPr>
          <w:ilvl w:val="0"/>
          <w:numId w:val="22"/>
        </w:numPr>
        <w:tabs>
          <w:tab w:val="clear" w:pos="709"/>
          <w:tab w:val="left" w:pos="709" w:leader="none"/>
        </w:tabs>
        <w:bidi w:val="0"/>
        <w:ind w:left="709" w:hanging="283"/>
        <w:jc w:val="left"/>
        <w:rPr/>
      </w:pPr>
      <w:r>
        <w:rPr>
          <w:rStyle w:val="Strkfremhvet"/>
        </w:rPr>
        <w:t>Information Disclosure:</w:t>
      </w:r>
      <w:r>
        <w:rPr/>
        <w:t xml:space="preserve"> Exfiltration of classified data to hostile states.</w:t>
      </w:r>
    </w:p>
    <w:p>
      <w:pPr>
        <w:pStyle w:val="Brdtekst"/>
        <w:numPr>
          <w:ilvl w:val="0"/>
          <w:numId w:val="22"/>
        </w:numPr>
        <w:tabs>
          <w:tab w:val="clear" w:pos="709"/>
          <w:tab w:val="left" w:pos="709" w:leader="none"/>
        </w:tabs>
        <w:bidi w:val="0"/>
        <w:ind w:left="709" w:hanging="283"/>
        <w:jc w:val="left"/>
        <w:rPr/>
      </w:pPr>
      <w:r>
        <w:rPr>
          <w:rStyle w:val="Strkfremhvet"/>
        </w:rPr>
        <w:t>Denial of Service:</w:t>
      </w:r>
      <w:r>
        <w:rPr/>
        <w:t xml:space="preserve"> Jamming GPS or disrupting communications networks.</w:t>
      </w:r>
    </w:p>
    <w:p>
      <w:pPr>
        <w:pStyle w:val="Brdtekst"/>
        <w:numPr>
          <w:ilvl w:val="0"/>
          <w:numId w:val="22"/>
        </w:numPr>
        <w:tabs>
          <w:tab w:val="clear" w:pos="709"/>
          <w:tab w:val="left" w:pos="709" w:leader="none"/>
        </w:tabs>
        <w:bidi w:val="0"/>
        <w:ind w:left="709" w:hanging="283"/>
        <w:jc w:val="left"/>
        <w:rPr/>
      </w:pPr>
      <w:r>
        <w:rPr>
          <w:rStyle w:val="Strkfremhvet"/>
        </w:rPr>
        <w:t>Elevation of Privilege:</w:t>
      </w:r>
      <w:r>
        <w:rPr/>
        <w:t xml:space="preserve"> Exploiting software vulnerabilities to move from unclassified to classified networks.</w:t>
      </w:r>
    </w:p>
    <w:p>
      <w:pPr>
        <w:pStyle w:val="Overskrift3"/>
        <w:bidi w:val="0"/>
        <w:jc w:val="left"/>
        <w:rPr/>
      </w:pPr>
      <w:r>
        <w:rPr/>
        <w:t>4.3.3 Attack Tree &amp; Risk Analysis</w:t>
      </w:r>
    </w:p>
    <w:p>
      <w:pPr>
        <w:pStyle w:val="Brdtekst"/>
        <w:bidi w:val="0"/>
        <w:spacing w:lineRule="auto" w:line="276" w:before="0" w:after="140"/>
        <w:jc w:val="left"/>
        <w:rPr/>
      </w:pPr>
      <w:r>
        <w:rPr/>
        <w:t>The root event “Compromise national defense data or systems” decomposes into insider threat, supply-chain compromise, and direct cyber-espionage. FAIR analysis suggests low likelihood but extreme impact: even a single compromise can alter geopolitical balances. Defense systems are thus a “high-impact, low-frequency” risk category.</w:t>
      </w:r>
    </w:p>
    <w:p>
      <w:pPr>
        <w:pStyle w:val="Overskrift3"/>
        <w:bidi w:val="0"/>
        <w:jc w:val="left"/>
        <w:rPr/>
      </w:pPr>
      <w:r>
        <w:rPr/>
        <w:t>4.3.4 Mitigations &amp; Controls</w:t>
      </w:r>
    </w:p>
    <w:p>
      <w:pPr>
        <w:pStyle w:val="Brdtekst"/>
        <w:numPr>
          <w:ilvl w:val="0"/>
          <w:numId w:val="23"/>
        </w:numPr>
        <w:tabs>
          <w:tab w:val="clear" w:pos="709"/>
          <w:tab w:val="left" w:pos="709" w:leader="none"/>
        </w:tabs>
        <w:bidi w:val="0"/>
        <w:ind w:left="709" w:hanging="283"/>
        <w:jc w:val="left"/>
        <w:rPr/>
      </w:pPr>
      <w:r>
        <w:rPr>
          <w:rStyle w:val="Strkfremhvet"/>
        </w:rPr>
        <w:t>Technical:</w:t>
      </w:r>
      <w:r>
        <w:rPr/>
        <w:t xml:space="preserve"> Air-gapped and segmented networks; multi-layer authentication (e.g., CAC cards, biometrics); deployment of post-quantum cryptography in sensitive links; hardware roots of trust; continuous anomaly detection across classified domains.</w:t>
      </w:r>
    </w:p>
    <w:p>
      <w:pPr>
        <w:pStyle w:val="Brdtekst"/>
        <w:numPr>
          <w:ilvl w:val="0"/>
          <w:numId w:val="23"/>
        </w:numPr>
        <w:tabs>
          <w:tab w:val="clear" w:pos="709"/>
          <w:tab w:val="left" w:pos="709" w:leader="none"/>
        </w:tabs>
        <w:bidi w:val="0"/>
        <w:ind w:left="709" w:hanging="283"/>
        <w:jc w:val="left"/>
        <w:rPr/>
      </w:pPr>
      <w:r>
        <w:rPr>
          <w:rStyle w:val="Strkfremhvet"/>
        </w:rPr>
        <w:t>Policy:</w:t>
      </w:r>
      <w:r>
        <w:rPr/>
        <w:t xml:space="preserve"> Compartmentalisation and “need-to-know”; personnel vetting and clearance programmes; insider threat monitoring; strict supply-chain verification.</w:t>
      </w:r>
    </w:p>
    <w:p>
      <w:pPr>
        <w:pStyle w:val="Brdtekst"/>
        <w:numPr>
          <w:ilvl w:val="0"/>
          <w:numId w:val="23"/>
        </w:numPr>
        <w:tabs>
          <w:tab w:val="clear" w:pos="709"/>
          <w:tab w:val="left" w:pos="709" w:leader="none"/>
        </w:tabs>
        <w:bidi w:val="0"/>
        <w:ind w:left="709" w:hanging="283"/>
        <w:jc w:val="left"/>
        <w:rPr/>
      </w:pPr>
      <w:r>
        <w:rPr>
          <w:rStyle w:val="Strkfremhvet"/>
        </w:rPr>
        <w:t>Regulatory/standards:</w:t>
      </w:r>
      <w:r>
        <w:rPr/>
        <w:t xml:space="preserve"> NIST SP 800-53 controls; U.S. DoD Zero Trust strategy; NATO cyber doctrines.</w:t>
      </w:r>
    </w:p>
    <w:p>
      <w:pPr>
        <w:pStyle w:val="Vandretlinje"/>
        <w:bidi w:val="0"/>
        <w:jc w:val="left"/>
        <w:rPr/>
      </w:pPr>
      <w:r>
        <w:rPr/>
      </w:r>
    </w:p>
    <w:p>
      <w:pPr>
        <w:pStyle w:val="Overskrift2"/>
        <w:bidi w:val="0"/>
        <w:jc w:val="left"/>
        <w:rPr/>
      </w:pPr>
      <w:r>
        <w:rPr/>
        <w:t>4.4 Cross-Case Analysis</w:t>
      </w:r>
    </w:p>
    <w:p>
      <w:pPr>
        <w:pStyle w:val="Brdtekst"/>
        <w:bidi w:val="0"/>
        <w:spacing w:lineRule="auto" w:line="276" w:before="0" w:after="140"/>
        <w:jc w:val="left"/>
        <w:rPr/>
      </w:pPr>
      <w:r>
        <w:rPr/>
        <w:t>These three domains — medical, financial, and defense — reveal the universality of SPR principles alongside domain-specific differences:</w:t>
      </w:r>
    </w:p>
    <w:p>
      <w:pPr>
        <w:pStyle w:val="Brdtekst"/>
        <w:numPr>
          <w:ilvl w:val="0"/>
          <w:numId w:val="24"/>
        </w:numPr>
        <w:tabs>
          <w:tab w:val="clear" w:pos="709"/>
          <w:tab w:val="left" w:pos="709" w:leader="none"/>
        </w:tabs>
        <w:bidi w:val="0"/>
        <w:ind w:left="709" w:hanging="283"/>
        <w:jc w:val="left"/>
        <w:rPr/>
      </w:pPr>
      <w:r>
        <w:rPr>
          <w:rStyle w:val="Strkfremhvet"/>
        </w:rPr>
        <w:t>Medical systems</w:t>
      </w:r>
      <w:r>
        <w:rPr/>
        <w:t xml:space="preserve"> prioritise </w:t>
      </w:r>
      <w:r>
        <w:rPr>
          <w:rStyle w:val="Fremhvet"/>
        </w:rPr>
        <w:t>privacy and availability</w:t>
      </w:r>
      <w:r>
        <w:rPr/>
        <w:t>: patients must be treated even under attack, so resilience and rapid recovery are paramount.</w:t>
      </w:r>
    </w:p>
    <w:p>
      <w:pPr>
        <w:pStyle w:val="Brdtekst"/>
        <w:numPr>
          <w:ilvl w:val="0"/>
          <w:numId w:val="24"/>
        </w:numPr>
        <w:tabs>
          <w:tab w:val="clear" w:pos="709"/>
          <w:tab w:val="left" w:pos="709" w:leader="none"/>
        </w:tabs>
        <w:bidi w:val="0"/>
        <w:ind w:left="709" w:hanging="283"/>
        <w:jc w:val="left"/>
        <w:rPr/>
      </w:pPr>
      <w:r>
        <w:rPr>
          <w:rStyle w:val="Strkfremhvet"/>
        </w:rPr>
        <w:t>Financial systems</w:t>
      </w:r>
      <w:r>
        <w:rPr/>
        <w:t xml:space="preserve"> prioritise </w:t>
      </w:r>
      <w:r>
        <w:rPr>
          <w:rStyle w:val="Fremhvet"/>
        </w:rPr>
        <w:t>integrity and non-repudiation</w:t>
      </w:r>
      <w:r>
        <w:rPr/>
        <w:t>: transaction correctness and auditability underpin trust in markets.</w:t>
      </w:r>
    </w:p>
    <w:p>
      <w:pPr>
        <w:pStyle w:val="Brdtekst"/>
        <w:numPr>
          <w:ilvl w:val="0"/>
          <w:numId w:val="24"/>
        </w:numPr>
        <w:tabs>
          <w:tab w:val="clear" w:pos="709"/>
          <w:tab w:val="left" w:pos="709" w:leader="none"/>
        </w:tabs>
        <w:bidi w:val="0"/>
        <w:ind w:left="709" w:hanging="283"/>
        <w:jc w:val="left"/>
        <w:rPr/>
      </w:pPr>
      <w:r>
        <w:rPr>
          <w:rStyle w:val="Strkfremhvet"/>
        </w:rPr>
        <w:t>Defense systems</w:t>
      </w:r>
      <w:r>
        <w:rPr/>
        <w:t xml:space="preserve"> prioritise </w:t>
      </w:r>
      <w:r>
        <w:rPr>
          <w:rStyle w:val="Fremhvet"/>
        </w:rPr>
        <w:t>confidentiality and authenticity</w:t>
      </w:r>
      <w:r>
        <w:rPr/>
        <w:t>: the disclosure or manipulation of classified data has strategic consequences.</w:t>
      </w:r>
    </w:p>
    <w:p>
      <w:pPr>
        <w:pStyle w:val="Brdtekst"/>
        <w:bidi w:val="0"/>
        <w:jc w:val="left"/>
        <w:rPr/>
      </w:pPr>
      <w:r>
        <w:rPr/>
        <w:t>A common pattern emerges: the same threats (spoofing, tampering, insider misuse) recur, but adversary capability, impact, and regulatory frameworks vary. Medical systems face frequent but relatively low-capability attackers; financial systems face medium-capability, profit-driven attackers; defense systems face low-frequency but nation-state adversaries with potentially existential impact.</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rStyle w:val="Strkfremhvet"/>
        </w:rPr>
        <w:t>Summary:</w:t>
      </w:r>
      <w:r>
        <w:rPr/>
        <w:t xml:space="preserve"> Section 4 demonstrates how the enduring principles of confidentiality, integrity, availability, authenticity, and accountability manifest across domains. By combining structured threat modelling (STRIDE, attack trees) with risk assessment frameworks (FAIR), organisations can move from abstract principles to concrete, defensible architectures and policies.</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This prose, with diagrams and FAIR-style risk tables inserted, should yield a </w:t>
      </w:r>
      <w:r>
        <w:rPr>
          <w:rStyle w:val="Strkfremhvet"/>
        </w:rPr>
        <w:t>rich 6–8 page section</w:t>
      </w:r>
      <w:r>
        <w:rPr/>
        <w:t xml:space="preserve"> in the final PDF.</w:t>
      </w:r>
    </w:p>
    <w:p>
      <w:pPr>
        <w:pStyle w:val="Brdtekst"/>
        <w:bidi w:val="0"/>
        <w:spacing w:lineRule="auto" w:line="276" w:before="0" w:after="140"/>
        <w:jc w:val="left"/>
        <w:rPr/>
      </w:pPr>
      <w:r>
        <w:rPr/>
        <w:t xml:space="preserve">Would you like me to now carry on with </w:t>
      </w:r>
      <w:r>
        <w:rPr>
          <w:rStyle w:val="Strkfremhvet"/>
        </w:rPr>
        <w:t>Section 5: Discussion and Future Directions</w:t>
      </w:r>
      <w:r>
        <w:rPr/>
        <w:t xml:space="preserve"> (Zero Trust, privacy-preserving analytics, post-quantum, AI governance)?</w:t>
      </w:r>
    </w:p>
    <w:p>
      <w:pPr>
        <w:pStyle w:val="Overskrift5"/>
        <w:bidi w:val="0"/>
        <w:jc w:val="left"/>
        <w:rPr/>
      </w:pPr>
      <w:r>
        <w:rPr/>
        <w:t>Du sagde:</w:t>
      </w:r>
    </w:p>
    <w:p>
      <w:pPr>
        <w:pStyle w:val="Brdtekst"/>
        <w:bidi w:val="0"/>
        <w:jc w:val="left"/>
        <w:rPr/>
      </w:pPr>
      <w:r>
        <w:rPr/>
        <w:t>Yes</w:t>
      </w:r>
    </w:p>
    <w:p>
      <w:pPr>
        <w:pStyle w:val="Overskrift6"/>
        <w:bidi w:val="0"/>
        <w:jc w:val="left"/>
        <w:rPr/>
      </w:pPr>
      <w:r>
        <w:rPr/>
        <w:t>ChatGPT sagde:</w:t>
      </w:r>
    </w:p>
    <w:p>
      <w:pPr>
        <w:pStyle w:val="Brdtekst"/>
        <w:bidi w:val="0"/>
        <w:spacing w:lineRule="auto" w:line="276" w:before="0" w:after="140"/>
        <w:jc w:val="left"/>
        <w:rPr/>
      </w:pPr>
      <w:r>
        <w:rPr/>
        <w:t xml:space="preserve">Perfect — here’s the </w:t>
      </w:r>
      <w:r>
        <w:rPr>
          <w:rStyle w:val="Strkfremhvet"/>
        </w:rPr>
        <w:t>expanded Section 5: Discussion and Future Directions</w:t>
      </w:r>
      <w:r>
        <w:rPr/>
        <w:t>. This one ties everything together and points toward where the field is heading. It should run ~2–3 pages once typeset.</w:t>
      </w:r>
    </w:p>
    <w:p>
      <w:pPr>
        <w:pStyle w:val="Vandretlinje"/>
        <w:suppressLineNumbers/>
        <w:pBdr>
          <w:bottom w:val="double" w:sz="2" w:space="0" w:color="808080"/>
        </w:pBdr>
        <w:bidi w:val="0"/>
        <w:spacing w:before="0" w:after="283"/>
        <w:jc w:val="left"/>
        <w:rPr/>
      </w:pPr>
      <w:r>
        <w:rPr/>
      </w:r>
    </w:p>
    <w:p>
      <w:pPr>
        <w:pStyle w:val="Overskrift1"/>
        <w:bidi w:val="0"/>
        <w:jc w:val="left"/>
        <w:rPr/>
      </w:pPr>
      <w:r>
        <w:rPr/>
        <w:t>5. Discussion and Future Directions</w:t>
      </w:r>
    </w:p>
    <w:p>
      <w:pPr>
        <w:pStyle w:val="Brdtekst"/>
        <w:bidi w:val="0"/>
        <w:spacing w:lineRule="auto" w:line="276" w:before="0" w:after="140"/>
        <w:jc w:val="left"/>
        <w:rPr/>
      </w:pPr>
      <w:r>
        <w:rPr/>
        <w:t xml:space="preserve">The three case studies in Section 4 illustrate the endurance of security principles under shifting technological and adversarial contexts. What differs is the </w:t>
      </w:r>
      <w:r>
        <w:rPr>
          <w:rStyle w:val="Fremhvet"/>
        </w:rPr>
        <w:t>emphasis</w:t>
      </w:r>
      <w:r>
        <w:rPr/>
        <w:t>: medical systems fight ransomware and privacy breaches; financial systems combat fraud and manipulation; defense systems guard against nation-states. Yet in every case, the principles of secure communication and execution reappear. The discussion now turns to future directions, where the next generation of secure systems will be defined.</w:t>
      </w:r>
    </w:p>
    <w:p>
      <w:pPr>
        <w:pStyle w:val="Vandretlinje"/>
        <w:suppressLineNumbers/>
        <w:pBdr>
          <w:bottom w:val="double" w:sz="2" w:space="0" w:color="808080"/>
        </w:pBdr>
        <w:bidi w:val="0"/>
        <w:spacing w:before="0" w:after="283"/>
        <w:jc w:val="left"/>
        <w:rPr/>
      </w:pPr>
      <w:r>
        <w:rPr/>
      </w:r>
    </w:p>
    <w:p>
      <w:pPr>
        <w:pStyle w:val="Overskrift2"/>
        <w:bidi w:val="0"/>
        <w:jc w:val="left"/>
        <w:rPr/>
      </w:pPr>
      <w:r>
        <w:rPr/>
        <w:t>5.1 Zero Trust as the New Default</w:t>
      </w:r>
    </w:p>
    <w:p>
      <w:pPr>
        <w:pStyle w:val="Brdtekst"/>
        <w:bidi w:val="0"/>
        <w:spacing w:lineRule="auto" w:line="276" w:before="0" w:after="140"/>
        <w:jc w:val="left"/>
        <w:rPr/>
      </w:pPr>
      <w:r>
        <w:rPr/>
        <w:t xml:space="preserve">The collapse of the network perimeter model has led to </w:t>
      </w:r>
      <w:r>
        <w:rPr>
          <w:rStyle w:val="Strkfremhvet"/>
        </w:rPr>
        <w:t>Zero Trust Architecture (ZTA)</w:t>
      </w:r>
      <w:r>
        <w:rPr/>
        <w:t xml:space="preserve"> (NIST, 2020). Under Zero Trust, no user or system is inherently trusted simply because of network location. Instead, every request is authenticated, authorised, and encrypted, regardless of origin.</w:t>
      </w:r>
    </w:p>
    <w:p>
      <w:pPr>
        <w:pStyle w:val="Brdtekst"/>
        <w:bidi w:val="0"/>
        <w:spacing w:lineRule="auto" w:line="276" w:before="0" w:after="140"/>
        <w:jc w:val="left"/>
        <w:rPr/>
      </w:pPr>
      <w:r>
        <w:rPr/>
        <w:t>This model is particularly relevant for:</w:t>
      </w:r>
    </w:p>
    <w:p>
      <w:pPr>
        <w:pStyle w:val="Brdtekst"/>
        <w:numPr>
          <w:ilvl w:val="0"/>
          <w:numId w:val="25"/>
        </w:numPr>
        <w:tabs>
          <w:tab w:val="clear" w:pos="709"/>
          <w:tab w:val="left" w:pos="709" w:leader="none"/>
        </w:tabs>
        <w:bidi w:val="0"/>
        <w:ind w:left="709" w:hanging="283"/>
        <w:jc w:val="left"/>
        <w:rPr/>
      </w:pPr>
      <w:r>
        <w:rPr>
          <w:rStyle w:val="Strkfremhvet"/>
        </w:rPr>
        <w:t>Medical systems</w:t>
      </w:r>
      <w:r>
        <w:rPr/>
        <w:t>, where clinicians access patient data across federated cloud platforms. Each request must be identity-bound, contextual, and logged.</w:t>
      </w:r>
    </w:p>
    <w:p>
      <w:pPr>
        <w:pStyle w:val="Brdtekst"/>
        <w:numPr>
          <w:ilvl w:val="0"/>
          <w:numId w:val="25"/>
        </w:numPr>
        <w:tabs>
          <w:tab w:val="clear" w:pos="709"/>
          <w:tab w:val="left" w:pos="709" w:leader="none"/>
        </w:tabs>
        <w:bidi w:val="0"/>
        <w:ind w:left="709" w:hanging="283"/>
        <w:jc w:val="left"/>
        <w:rPr/>
      </w:pPr>
      <w:r>
        <w:rPr>
          <w:rStyle w:val="Strkfremhvet"/>
        </w:rPr>
        <w:t>Financial systems</w:t>
      </w:r>
      <w:r>
        <w:rPr/>
        <w:t>, where transaction initiation and approval require continuous verification, not just a one-time login.</w:t>
      </w:r>
    </w:p>
    <w:p>
      <w:pPr>
        <w:pStyle w:val="Brdtekst"/>
        <w:numPr>
          <w:ilvl w:val="0"/>
          <w:numId w:val="25"/>
        </w:numPr>
        <w:tabs>
          <w:tab w:val="clear" w:pos="709"/>
          <w:tab w:val="left" w:pos="709" w:leader="none"/>
        </w:tabs>
        <w:bidi w:val="0"/>
        <w:ind w:left="709" w:hanging="283"/>
        <w:jc w:val="left"/>
        <w:rPr/>
      </w:pPr>
      <w:r>
        <w:rPr>
          <w:rStyle w:val="Strkfremhvet"/>
        </w:rPr>
        <w:t>Defense systems</w:t>
      </w:r>
      <w:r>
        <w:rPr/>
        <w:t>, where segmented networks enforce strict cross-domain controls and deny “implicit trust” even to insiders.</w:t>
      </w:r>
    </w:p>
    <w:p>
      <w:pPr>
        <w:pStyle w:val="Brdtekst"/>
        <w:bidi w:val="0"/>
        <w:jc w:val="left"/>
        <w:rPr/>
      </w:pPr>
      <w:r>
        <w:rPr/>
        <w:t>Zero Trust is not a single technology but a philosophy that requires robust identity, micro-segmentation, continuous monitoring, and dynamic policy enforcement.</w:t>
      </w:r>
    </w:p>
    <w:p>
      <w:pPr>
        <w:pStyle w:val="Vandretlinje"/>
        <w:suppressLineNumbers/>
        <w:pBdr>
          <w:bottom w:val="double" w:sz="2" w:space="0" w:color="808080"/>
        </w:pBdr>
        <w:bidi w:val="0"/>
        <w:spacing w:before="0" w:after="283"/>
        <w:jc w:val="left"/>
        <w:rPr/>
      </w:pPr>
      <w:r>
        <w:rPr/>
      </w:r>
    </w:p>
    <w:p>
      <w:pPr>
        <w:pStyle w:val="Overskrift2"/>
        <w:bidi w:val="0"/>
        <w:jc w:val="left"/>
        <w:rPr/>
      </w:pPr>
      <w:r>
        <w:rPr/>
        <w:t>5.2 Privacy-Preserving Analytics</w:t>
      </w:r>
    </w:p>
    <w:p>
      <w:pPr>
        <w:pStyle w:val="Brdtekst"/>
        <w:bidi w:val="0"/>
        <w:spacing w:lineRule="auto" w:line="276" w:before="0" w:after="140"/>
        <w:jc w:val="left"/>
        <w:rPr/>
      </w:pPr>
      <w:r>
        <w:rPr/>
        <w:t>The tension between data utility and confidentiality is growing sharper. Organisations must extract value from sensitive datasets without compromising privacy or compliance. Techniques gaining traction include:</w:t>
      </w:r>
    </w:p>
    <w:p>
      <w:pPr>
        <w:pStyle w:val="Brdtekst"/>
        <w:numPr>
          <w:ilvl w:val="0"/>
          <w:numId w:val="26"/>
        </w:numPr>
        <w:tabs>
          <w:tab w:val="clear" w:pos="709"/>
          <w:tab w:val="left" w:pos="709" w:leader="none"/>
        </w:tabs>
        <w:bidi w:val="0"/>
        <w:ind w:left="709" w:hanging="283"/>
        <w:jc w:val="left"/>
        <w:rPr/>
      </w:pPr>
      <w:r>
        <w:rPr>
          <w:rStyle w:val="Strkfremhvet"/>
        </w:rPr>
        <w:t>Differential privacy</w:t>
      </w:r>
      <w:r>
        <w:rPr/>
        <w:t>, adding statistical noise to outputs to protect individual records. Already deployed by Apple, Microsoft, and the U.S. Census Bureau.</w:t>
      </w:r>
    </w:p>
    <w:p>
      <w:pPr>
        <w:pStyle w:val="Brdtekst"/>
        <w:numPr>
          <w:ilvl w:val="0"/>
          <w:numId w:val="26"/>
        </w:numPr>
        <w:tabs>
          <w:tab w:val="clear" w:pos="709"/>
          <w:tab w:val="left" w:pos="709" w:leader="none"/>
        </w:tabs>
        <w:bidi w:val="0"/>
        <w:ind w:left="709" w:hanging="283"/>
        <w:jc w:val="left"/>
        <w:rPr/>
      </w:pPr>
      <w:r>
        <w:rPr>
          <w:rStyle w:val="Strkfremhvet"/>
        </w:rPr>
        <w:t>Federated learning</w:t>
      </w:r>
      <w:r>
        <w:rPr/>
        <w:t>, where models are trained across distributed datasets without moving the raw data, particularly promising in healthcare collaborations.</w:t>
      </w:r>
    </w:p>
    <w:p>
      <w:pPr>
        <w:pStyle w:val="Brdtekst"/>
        <w:numPr>
          <w:ilvl w:val="0"/>
          <w:numId w:val="26"/>
        </w:numPr>
        <w:tabs>
          <w:tab w:val="clear" w:pos="709"/>
          <w:tab w:val="left" w:pos="709" w:leader="none"/>
        </w:tabs>
        <w:bidi w:val="0"/>
        <w:ind w:left="709" w:hanging="283"/>
        <w:jc w:val="left"/>
        <w:rPr/>
      </w:pPr>
      <w:r>
        <w:rPr>
          <w:rStyle w:val="Strkfremhvet"/>
        </w:rPr>
        <w:t>Synthetic data generation</w:t>
      </w:r>
      <w:r>
        <w:rPr/>
        <w:t>, creating statistically valid but artificial datasets for testing and analytics.</w:t>
      </w:r>
    </w:p>
    <w:p>
      <w:pPr>
        <w:pStyle w:val="Brdtekst"/>
        <w:numPr>
          <w:ilvl w:val="0"/>
          <w:numId w:val="26"/>
        </w:numPr>
        <w:tabs>
          <w:tab w:val="clear" w:pos="709"/>
          <w:tab w:val="left" w:pos="709" w:leader="none"/>
        </w:tabs>
        <w:bidi w:val="0"/>
        <w:ind w:left="709" w:hanging="283"/>
        <w:jc w:val="left"/>
        <w:rPr/>
      </w:pPr>
      <w:r>
        <w:rPr>
          <w:rStyle w:val="Strkfremhvet"/>
        </w:rPr>
        <w:t>Secure multiparty computation (MPC) and homomorphic encryption</w:t>
      </w:r>
      <w:r>
        <w:rPr/>
        <w:t>, enabling computations on encrypted data, though still limited by performance overheads.</w:t>
      </w:r>
    </w:p>
    <w:p>
      <w:pPr>
        <w:pStyle w:val="Brdtekst"/>
        <w:bidi w:val="0"/>
        <w:jc w:val="left"/>
        <w:rPr/>
      </w:pPr>
      <w:r>
        <w:rPr/>
        <w:t>These techniques address GDPR mandates for data minimisation and purpose limitation while supporting research and innovation. They also align with the needs of financial compliance (AML monitoring) and military intelligence sharing among allies.</w:t>
      </w:r>
    </w:p>
    <w:p>
      <w:pPr>
        <w:pStyle w:val="Vandretlinje"/>
        <w:suppressLineNumbers/>
        <w:pBdr>
          <w:bottom w:val="double" w:sz="2" w:space="0" w:color="808080"/>
        </w:pBdr>
        <w:bidi w:val="0"/>
        <w:spacing w:before="0" w:after="283"/>
        <w:jc w:val="left"/>
        <w:rPr/>
      </w:pPr>
      <w:r>
        <w:rPr/>
      </w:r>
    </w:p>
    <w:p>
      <w:pPr>
        <w:pStyle w:val="Overskrift2"/>
        <w:bidi w:val="0"/>
        <w:jc w:val="left"/>
        <w:rPr/>
      </w:pPr>
      <w:r>
        <w:rPr/>
        <w:t>5.3 The Post-Quantum Transition</w:t>
      </w:r>
    </w:p>
    <w:p>
      <w:pPr>
        <w:pStyle w:val="Brdtekst"/>
        <w:bidi w:val="0"/>
        <w:spacing w:lineRule="auto" w:line="276" w:before="0" w:after="140"/>
        <w:jc w:val="left"/>
        <w:rPr/>
      </w:pPr>
      <w:r>
        <w:rPr/>
        <w:t xml:space="preserve">Perhaps the most significant long-term shift is the anticipated arrival of </w:t>
      </w:r>
      <w:r>
        <w:rPr>
          <w:rStyle w:val="Strkfremhvet"/>
        </w:rPr>
        <w:t>quantum-capable adversaries</w:t>
      </w:r>
      <w:r>
        <w:rPr/>
        <w:t>. Shor’s algorithm threatens all widely deployed public key cryptography (RSA, ECC, DH). Even if large-scale quantum computers remain years away, adversaries can already conduct “harvest now, decrypt later” attacks, stockpiling encrypted traffic until quantum decryption is viable.</w:t>
      </w:r>
    </w:p>
    <w:p>
      <w:pPr>
        <w:pStyle w:val="Brdtekst"/>
        <w:bidi w:val="0"/>
        <w:spacing w:lineRule="auto" w:line="276" w:before="0" w:after="140"/>
        <w:jc w:val="left"/>
        <w:rPr/>
      </w:pPr>
      <w:r>
        <w:rPr/>
        <w:t xml:space="preserve">The response is </w:t>
      </w:r>
      <w:r>
        <w:rPr>
          <w:rStyle w:val="Strkfremhvet"/>
        </w:rPr>
        <w:t>post-quantum cryptography (PQC)</w:t>
      </w:r>
      <w:r>
        <w:rPr/>
        <w:t xml:space="preserve">, currently being standardised by NIST. Algorithms such as Kyber (key encapsulation) and Dilithium (digital signatures) are expected to replace RSA and ECC in the coming decade. Modern protocols (TLS 1.3, IKEv2) are already experimenting with </w:t>
      </w:r>
      <w:r>
        <w:rPr>
          <w:rStyle w:val="Fremhvet"/>
        </w:rPr>
        <w:t>hybrid key exchanges</w:t>
      </w:r>
      <w:r>
        <w:rPr/>
        <w:t xml:space="preserve"> that combine ECC with lattice-based schemes.</w:t>
      </w:r>
    </w:p>
    <w:p>
      <w:pPr>
        <w:pStyle w:val="Brdtekst"/>
        <w:bidi w:val="0"/>
        <w:spacing w:lineRule="auto" w:line="276" w:before="0" w:after="140"/>
        <w:jc w:val="left"/>
        <w:rPr/>
      </w:pPr>
      <w:r>
        <w:rPr/>
        <w:t>For medical, financial, and defense systems, PQC adoption will be staged:</w:t>
      </w:r>
    </w:p>
    <w:p>
      <w:pPr>
        <w:pStyle w:val="Brdtekst"/>
        <w:numPr>
          <w:ilvl w:val="0"/>
          <w:numId w:val="27"/>
        </w:numPr>
        <w:tabs>
          <w:tab w:val="clear" w:pos="709"/>
          <w:tab w:val="left" w:pos="709" w:leader="none"/>
        </w:tabs>
        <w:bidi w:val="0"/>
        <w:ind w:left="709" w:hanging="283"/>
        <w:jc w:val="left"/>
        <w:rPr/>
      </w:pPr>
      <w:r>
        <w:rPr>
          <w:rStyle w:val="Strkfremhvet"/>
        </w:rPr>
        <w:t>Medical:</w:t>
      </w:r>
      <w:r>
        <w:rPr/>
        <w:t xml:space="preserve"> Likely to lag, constrained by budget and reliance on cloud providers to update stacks.</w:t>
      </w:r>
    </w:p>
    <w:p>
      <w:pPr>
        <w:pStyle w:val="Brdtekst"/>
        <w:numPr>
          <w:ilvl w:val="0"/>
          <w:numId w:val="27"/>
        </w:numPr>
        <w:tabs>
          <w:tab w:val="clear" w:pos="709"/>
          <w:tab w:val="left" w:pos="709" w:leader="none"/>
        </w:tabs>
        <w:bidi w:val="0"/>
        <w:ind w:left="709" w:hanging="283"/>
        <w:jc w:val="left"/>
        <w:rPr/>
      </w:pPr>
      <w:r>
        <w:rPr>
          <w:rStyle w:val="Strkfremhvet"/>
        </w:rPr>
        <w:t>Financial:</w:t>
      </w:r>
      <w:r>
        <w:rPr/>
        <w:t xml:space="preserve"> Intermediate pace, with central banks and payment networks driving upgrades.</w:t>
      </w:r>
    </w:p>
    <w:p>
      <w:pPr>
        <w:pStyle w:val="Brdtekst"/>
        <w:numPr>
          <w:ilvl w:val="0"/>
          <w:numId w:val="27"/>
        </w:numPr>
        <w:tabs>
          <w:tab w:val="clear" w:pos="709"/>
          <w:tab w:val="left" w:pos="709" w:leader="none"/>
        </w:tabs>
        <w:bidi w:val="0"/>
        <w:ind w:left="709" w:hanging="283"/>
        <w:jc w:val="left"/>
        <w:rPr/>
      </w:pPr>
      <w:r>
        <w:rPr>
          <w:rStyle w:val="Strkfremhvet"/>
        </w:rPr>
        <w:t>Defense:</w:t>
      </w:r>
      <w:r>
        <w:rPr/>
        <w:t xml:space="preserve"> Fastest adoption, already piloting PQC in classified networks to mitigate harvest-now threats.</w:t>
      </w:r>
    </w:p>
    <w:p>
      <w:pPr>
        <w:pStyle w:val="Brdtekst"/>
        <w:bidi w:val="0"/>
        <w:jc w:val="left"/>
        <w:rPr/>
      </w:pPr>
      <w:r>
        <w:rPr/>
        <w:t>The transition will be one of the largest cryptographic migrations in history, comparable to the move from DES to AES.</w:t>
      </w:r>
    </w:p>
    <w:p>
      <w:pPr>
        <w:pStyle w:val="Vandretlinje"/>
        <w:suppressLineNumbers/>
        <w:pBdr>
          <w:bottom w:val="double" w:sz="2" w:space="0" w:color="808080"/>
        </w:pBdr>
        <w:bidi w:val="0"/>
        <w:spacing w:before="0" w:after="283"/>
        <w:jc w:val="left"/>
        <w:rPr/>
      </w:pPr>
      <w:r>
        <w:rPr/>
      </w:r>
    </w:p>
    <w:p>
      <w:pPr>
        <w:pStyle w:val="Overskrift2"/>
        <w:bidi w:val="0"/>
        <w:jc w:val="left"/>
        <w:rPr/>
      </w:pPr>
      <w:r>
        <w:rPr/>
        <w:t>5.4 AI, Automation, and Governance</w:t>
      </w:r>
    </w:p>
    <w:p>
      <w:pPr>
        <w:pStyle w:val="Brdtekst"/>
        <w:bidi w:val="0"/>
        <w:spacing w:lineRule="auto" w:line="276" w:before="0" w:after="140"/>
        <w:jc w:val="left"/>
        <w:rPr/>
      </w:pPr>
      <w:r>
        <w:rPr/>
        <w:t>Artificial Intelligence is reshaping both attack and defense. On one hand, AI enables automated phishing, deepfake voice fraud, and adversarial manipulation of machine learning models. On the other, AI underpins anomaly detection, fraud detection, and adaptive access control.</w:t>
      </w:r>
    </w:p>
    <w:p>
      <w:pPr>
        <w:pStyle w:val="Brdtekst"/>
        <w:bidi w:val="0"/>
        <w:spacing w:lineRule="auto" w:line="276" w:before="0" w:after="140"/>
        <w:jc w:val="left"/>
        <w:rPr/>
      </w:pPr>
      <w:r>
        <w:rPr/>
        <w:t>The governance challenge is acute. If an AI-driven intrusion detection system blocks a medical procedure, or an automated trading guardrail halts a market, who is accountable? The EU’s AI Act and emerging DoD guidance on AI ethics attempt to address this, but the issue is unsettled.</w:t>
      </w:r>
    </w:p>
    <w:p>
      <w:pPr>
        <w:pStyle w:val="Brdtekst"/>
        <w:bidi w:val="0"/>
        <w:spacing w:lineRule="auto" w:line="276" w:before="0" w:after="140"/>
        <w:jc w:val="left"/>
        <w:rPr/>
      </w:pPr>
      <w:r>
        <w:rPr/>
        <w:t>In defense systems, AI introduces existential questions: should autonomous systems be allowed to make lethal decisions? From an SPR perspective, this is a question of integrity, accountability, and verifiability.</w:t>
      </w:r>
    </w:p>
    <w:p>
      <w:pPr>
        <w:pStyle w:val="Vandretlinje"/>
        <w:suppressLineNumbers/>
        <w:pBdr>
          <w:bottom w:val="double" w:sz="2" w:space="0" w:color="808080"/>
        </w:pBdr>
        <w:bidi w:val="0"/>
        <w:spacing w:before="0" w:after="283"/>
        <w:jc w:val="left"/>
        <w:rPr/>
      </w:pPr>
      <w:r>
        <w:rPr/>
      </w:r>
    </w:p>
    <w:p>
      <w:pPr>
        <w:pStyle w:val="Overskrift2"/>
        <w:bidi w:val="0"/>
        <w:jc w:val="left"/>
        <w:rPr/>
      </w:pPr>
      <w:r>
        <w:rPr/>
        <w:t>5.5 The Socio-Technical Horizon</w:t>
      </w:r>
    </w:p>
    <w:p>
      <w:pPr>
        <w:pStyle w:val="Brdtekst"/>
        <w:bidi w:val="0"/>
        <w:spacing w:lineRule="auto" w:line="276" w:before="0" w:after="140"/>
        <w:jc w:val="left"/>
        <w:rPr/>
      </w:pPr>
      <w:r>
        <w:rPr/>
        <w:t xml:space="preserve">Security is not only a technical problem but also a socio-technical one. Medical staff must be trained not to bypass access controls in emergencies. Bank employees must adhere to segregation of duties even under pressure. Military personnel must balance secrecy with coalition information-sharing. The future will demand </w:t>
      </w:r>
      <w:r>
        <w:rPr>
          <w:rStyle w:val="Fremhvet"/>
        </w:rPr>
        <w:t>usable security</w:t>
      </w:r>
      <w:r>
        <w:rPr/>
        <w:t xml:space="preserve"> that does not force users into insecure workarounds.</w:t>
      </w:r>
    </w:p>
    <w:p>
      <w:pPr>
        <w:pStyle w:val="Brdtekst"/>
        <w:bidi w:val="0"/>
        <w:spacing w:lineRule="auto" w:line="276" w:before="0" w:after="140"/>
        <w:jc w:val="left"/>
        <w:rPr/>
      </w:pPr>
      <w:r>
        <w:rPr/>
        <w:t>Regulation will play an increasing role: GDPR, HIPAA, PSD2, MiCA, Basel, and NATO doctrines will continue to shape the technical designs. Compliance will not be optional; it will be a central design driver.</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rStyle w:val="Strkfremhvet"/>
        </w:rPr>
        <w:t>Summary:</w:t>
      </w:r>
      <w:r>
        <w:rPr/>
        <w:t xml:space="preserve"> The future of secure systems will be defined by </w:t>
      </w:r>
      <w:r>
        <w:rPr>
          <w:rStyle w:val="Strkfremhvet"/>
        </w:rPr>
        <w:t>zero trust, privacy-preserving computation, post-quantum readiness, AI governance, and socio-technical design</w:t>
      </w:r>
      <w:r>
        <w:rPr/>
        <w:t>. The challenge for practitioners is to weave these into coherent, usable, and resilient architectures without losing sight of the timeless principles of confidentiality, integrity, availability, authenticity, and accountability.</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This should provide a </w:t>
      </w:r>
      <w:r>
        <w:rPr>
          <w:rStyle w:val="Strkfremhvet"/>
        </w:rPr>
        <w:t>solid 2–3 pages</w:t>
      </w:r>
      <w:r>
        <w:rPr/>
        <w:t xml:space="preserve"> when laid out with space, references, and diagrams.</w:t>
      </w:r>
    </w:p>
    <w:p>
      <w:pPr>
        <w:pStyle w:val="Brdtekst"/>
        <w:bidi w:val="0"/>
        <w:spacing w:lineRule="auto" w:line="276" w:before="0" w:after="140"/>
        <w:jc w:val="left"/>
        <w:rPr/>
      </w:pPr>
      <w:r>
        <w:rPr/>
        <w:t xml:space="preserve">Shall I now finish with </w:t>
      </w:r>
      <w:r>
        <w:rPr>
          <w:rStyle w:val="Strkfremhvet"/>
        </w:rPr>
        <w:t>Section 6: Conclusion</w:t>
      </w:r>
      <w:r>
        <w:rPr/>
        <w:t xml:space="preserve"> (a strong 1–2 page wrap-up) so the expanded text body is complete and ready for compilation into the long PDF?</w:t>
      </w:r>
    </w:p>
    <w:p>
      <w:pPr>
        <w:pStyle w:val="Overskrift5"/>
        <w:bidi w:val="0"/>
        <w:jc w:val="left"/>
        <w:rPr/>
      </w:pPr>
      <w:r>
        <w:rPr/>
        <w:t>Du sagde:</w:t>
      </w:r>
    </w:p>
    <w:p>
      <w:pPr>
        <w:pStyle w:val="Brdtekst"/>
        <w:bidi w:val="0"/>
        <w:jc w:val="left"/>
        <w:rPr/>
      </w:pPr>
      <w:r>
        <w:rPr/>
        <w:t>Yes. I think there are many good points inside, opportunities for expansion.</w:t>
      </w:r>
    </w:p>
    <w:p>
      <w:pPr>
        <w:pStyle w:val="Overskrift6"/>
        <w:bidi w:val="0"/>
        <w:jc w:val="left"/>
        <w:rPr/>
      </w:pPr>
      <w:r>
        <w:rPr/>
        <w:t>ChatGPT sagde:</w:t>
      </w:r>
    </w:p>
    <w:p>
      <w:pPr>
        <w:pStyle w:val="Brdtekst"/>
        <w:bidi w:val="0"/>
        <w:spacing w:lineRule="auto" w:line="276" w:before="0" w:after="140"/>
        <w:jc w:val="left"/>
        <w:rPr/>
      </w:pPr>
      <w:r>
        <w:rPr/>
        <w:t xml:space="preserve">Excellent — here’s the </w:t>
      </w:r>
      <w:r>
        <w:rPr>
          <w:rStyle w:val="Strkfremhvet"/>
        </w:rPr>
        <w:t>expanded Section 6: Conclusion</w:t>
      </w:r>
      <w:r>
        <w:rPr/>
        <w:t>, designed to be 1–2 strong pages when typeset. It will tie together all prior themes while signalling opportunities for further exploration.</w:t>
      </w:r>
    </w:p>
    <w:p>
      <w:pPr>
        <w:pStyle w:val="Vandretlinje"/>
        <w:suppressLineNumbers/>
        <w:pBdr>
          <w:bottom w:val="double" w:sz="2" w:space="0" w:color="808080"/>
        </w:pBdr>
        <w:bidi w:val="0"/>
        <w:spacing w:before="0" w:after="283"/>
        <w:jc w:val="left"/>
        <w:rPr/>
      </w:pPr>
      <w:r>
        <w:rPr/>
      </w:r>
    </w:p>
    <w:p>
      <w:pPr>
        <w:pStyle w:val="Overskrift1"/>
        <w:bidi w:val="0"/>
        <w:jc w:val="left"/>
        <w:rPr/>
      </w:pPr>
      <w:r>
        <w:rPr/>
        <w:t>6. Conclusion</w:t>
      </w:r>
    </w:p>
    <w:p>
      <w:pPr>
        <w:pStyle w:val="Brdtekst"/>
        <w:bidi w:val="0"/>
        <w:spacing w:lineRule="auto" w:line="276" w:before="0" w:after="140"/>
        <w:jc w:val="left"/>
        <w:rPr/>
      </w:pPr>
      <w:r>
        <w:rPr/>
        <w:t>The Security Principles module has always been about timeless ideas. Confidentiality, integrity, availability, authenticity, and accountability remain as relevant in 2025 as they were in 2002. What has changed is the context: today’s systems are more interconnected, adversaries more capable, and stakes higher. By revisiting the three original areas of study—secure communication protocols, containment versus publisher trust, and the protection of sensitive databases—we can observe both the continuity and the transformation of the field.</w:t>
      </w:r>
    </w:p>
    <w:p>
      <w:pPr>
        <w:pStyle w:val="Brdtekst"/>
        <w:bidi w:val="0"/>
        <w:spacing w:lineRule="auto" w:line="276" w:before="0" w:after="140"/>
        <w:jc w:val="left"/>
        <w:rPr/>
      </w:pPr>
      <w:r>
        <w:rPr/>
        <w:t>The comparison between the 2002 baseline protocol and modern designs such as TLS 1.3 illustrates the maturing of cryptographic engineering. Where once session keys were encrypted under long-term keys with no forward secrecy, today’s protocols mandate ephemeral Diffie–Hellman, transcript binding, downgrade resistance, and even hybrid post-quantum key exchange. The lesson is clear: formal analysis and repeated attack experience have hardened these protocols into robust standards that now underpin the internet economy.</w:t>
      </w:r>
    </w:p>
    <w:p>
      <w:pPr>
        <w:pStyle w:val="Brdtekst"/>
        <w:bidi w:val="0"/>
        <w:spacing w:lineRule="auto" w:line="276" w:before="0" w:after="140"/>
        <w:jc w:val="left"/>
        <w:rPr/>
      </w:pPr>
      <w:r>
        <w:rPr/>
        <w:t>The debate between containment and publisher trust remains unresolved but has evolved into a layered model. From Java sandboxes and ActiveX signing, through mobile app ecosystems, to modern supply-chain frameworks like Sigstore, the evidence points toward a hybrid approach. Code must be signed to establish provenance, sandboxed to limit damage, and monitored continuously to detect abuse. Any single measure is insufficient on its own.</w:t>
      </w:r>
    </w:p>
    <w:p>
      <w:pPr>
        <w:pStyle w:val="Brdtekst"/>
        <w:bidi w:val="0"/>
        <w:spacing w:lineRule="auto" w:line="276" w:before="0" w:after="140"/>
        <w:jc w:val="left"/>
        <w:rPr/>
      </w:pPr>
      <w:r>
        <w:rPr/>
        <w:t>The three case studies—medical, financial, and defense—demonstrate how these principles manifest differently in practice. Medical systems face frequent, lower-capability threats with high privacy stakes. Financial systems confront high-frequency fraud and systemic risk. Defense systems contend with nation-state adversaries where the impact of a single compromise can be existential. STRIDE modelling, attack trees, and FAIR analysis provide the structured methods needed to translate abstract principles into actionable risk management.</w:t>
      </w:r>
    </w:p>
    <w:p>
      <w:pPr>
        <w:pStyle w:val="Brdtekst"/>
        <w:bidi w:val="0"/>
        <w:spacing w:lineRule="auto" w:line="276" w:before="0" w:after="140"/>
        <w:jc w:val="left"/>
        <w:rPr/>
      </w:pPr>
      <w:r>
        <w:rPr/>
        <w:t>Looking forward, the next decade of security practice will be shaped by Zero Trust architectures, privacy-preserving computation, post-quantum cryptography, and AI governance. Each represents both a technical and a socio-technical challenge. Zero Trust will require identity infrastructures robust enough to handle billions of daily verifications. Privacy-preserving computation must overcome performance bottlenecks and usability hurdles. The post-quantum transition will be the largest cryptographic migration in history. And AI governance will test our ability to embed ethical and accountable decision-making into autonomous systems.</w:t>
      </w:r>
    </w:p>
    <w:p>
      <w:pPr>
        <w:pStyle w:val="Brdtekst"/>
        <w:bidi w:val="0"/>
        <w:spacing w:lineRule="auto" w:line="276" w:before="0" w:after="140"/>
        <w:jc w:val="left"/>
        <w:rPr/>
      </w:pPr>
      <w:r>
        <w:rPr/>
        <w:t>Perhaps the most important insight is that security is not static. It is an evolving equilibrium between attackers and defenders, technology and policy, automation and human judgment. Oxford’s SPR module was designed to give students enduring principles rather than brittle prescriptions. Two decades later, that design choice has proven prescient. The tools and acronyms may change, but the underlying questions—how to communicate securely, how to run untrusted code safely, how to protect sensitive information—remain the same.</w:t>
      </w:r>
    </w:p>
    <w:p>
      <w:pPr>
        <w:pStyle w:val="Brdtekst"/>
        <w:bidi w:val="0"/>
        <w:spacing w:lineRule="auto" w:line="276" w:before="0" w:after="140"/>
        <w:jc w:val="left"/>
        <w:rPr/>
      </w:pPr>
      <w:r>
        <w:rPr>
          <w:rStyle w:val="Strkfremhvet"/>
        </w:rPr>
        <w:t>Final thought:</w:t>
      </w:r>
      <w:r>
        <w:rPr/>
        <w:t xml:space="preserve"> the opportunity for future work lies not only in refining the technical controls but also in addressing the socio-technical horizon. Security systems must be usable, governance frameworks enforceable, and global coordination achievable. In medical, financial, and defense domains alike, success will depend as much on aligning incentives and behaviours as on deploying the correct cryptographic primitives.</w:t>
      </w:r>
    </w:p>
    <w:p>
      <w:pPr>
        <w:pStyle w:val="Vandretlinje"/>
        <w:suppressLineNumbers/>
        <w:pBdr>
          <w:bottom w:val="double" w:sz="2" w:space="0" w:color="808080"/>
        </w:pBdr>
        <w:bidi w:val="0"/>
        <w:spacing w:before="0" w:after="283"/>
        <w:jc w:val="left"/>
        <w:rPr/>
      </w:pPr>
      <w:r>
        <w:rPr/>
      </w:r>
    </w:p>
    <w:p>
      <w:pPr>
        <w:pStyle w:val="Brdtekst"/>
        <w:bidi w:val="0"/>
        <w:spacing w:lineRule="auto" w:line="276" w:before="0" w:after="140"/>
        <w:jc w:val="left"/>
        <w:rPr/>
      </w:pPr>
      <w:r>
        <w:rPr/>
        <w:t xml:space="preserve">That completes the </w:t>
      </w:r>
      <w:r>
        <w:rPr>
          <w:rStyle w:val="Strkfremhvet"/>
        </w:rPr>
        <w:t>expanded text body</w:t>
      </w:r>
      <w:r>
        <w:rPr/>
        <w:t>:</w:t>
      </w:r>
    </w:p>
    <w:p>
      <w:pPr>
        <w:pStyle w:val="Brdtekst"/>
        <w:numPr>
          <w:ilvl w:val="0"/>
          <w:numId w:val="28"/>
        </w:numPr>
        <w:tabs>
          <w:tab w:val="clear" w:pos="709"/>
          <w:tab w:val="left" w:pos="709" w:leader="none"/>
        </w:tabs>
        <w:bidi w:val="0"/>
        <w:ind w:left="709" w:hanging="283"/>
        <w:jc w:val="left"/>
        <w:rPr/>
      </w:pPr>
      <w:r>
        <w:rPr/>
        <w:t>Section 1: Introduction (2–3 pages)</w:t>
      </w:r>
    </w:p>
    <w:p>
      <w:pPr>
        <w:pStyle w:val="Brdtekst"/>
        <w:numPr>
          <w:ilvl w:val="0"/>
          <w:numId w:val="28"/>
        </w:numPr>
        <w:tabs>
          <w:tab w:val="clear" w:pos="709"/>
          <w:tab w:val="left" w:pos="709" w:leader="none"/>
        </w:tabs>
        <w:bidi w:val="0"/>
        <w:ind w:left="709" w:hanging="283"/>
        <w:jc w:val="left"/>
        <w:rPr/>
      </w:pPr>
      <w:r>
        <w:rPr/>
        <w:t>Section 2: Secure Protocols (4–5 pages)</w:t>
      </w:r>
    </w:p>
    <w:p>
      <w:pPr>
        <w:pStyle w:val="Brdtekst"/>
        <w:numPr>
          <w:ilvl w:val="0"/>
          <w:numId w:val="28"/>
        </w:numPr>
        <w:tabs>
          <w:tab w:val="clear" w:pos="709"/>
          <w:tab w:val="left" w:pos="709" w:leader="none"/>
        </w:tabs>
        <w:bidi w:val="0"/>
        <w:ind w:left="709" w:hanging="283"/>
        <w:jc w:val="left"/>
        <w:rPr/>
      </w:pPr>
      <w:r>
        <w:rPr/>
        <w:t>Section 3: Containment vs Signing (3–4 pages)</w:t>
      </w:r>
    </w:p>
    <w:p>
      <w:pPr>
        <w:pStyle w:val="Brdtekst"/>
        <w:numPr>
          <w:ilvl w:val="0"/>
          <w:numId w:val="28"/>
        </w:numPr>
        <w:tabs>
          <w:tab w:val="clear" w:pos="709"/>
          <w:tab w:val="left" w:pos="709" w:leader="none"/>
        </w:tabs>
        <w:bidi w:val="0"/>
        <w:ind w:left="709" w:hanging="283"/>
        <w:jc w:val="left"/>
        <w:rPr/>
      </w:pPr>
      <w:r>
        <w:rPr/>
        <w:t>Section 4: Case Studies (6–8 pages)</w:t>
      </w:r>
    </w:p>
    <w:p>
      <w:pPr>
        <w:pStyle w:val="Brdtekst"/>
        <w:numPr>
          <w:ilvl w:val="0"/>
          <w:numId w:val="28"/>
        </w:numPr>
        <w:tabs>
          <w:tab w:val="clear" w:pos="709"/>
          <w:tab w:val="left" w:pos="709" w:leader="none"/>
        </w:tabs>
        <w:bidi w:val="0"/>
        <w:ind w:left="709" w:hanging="283"/>
        <w:jc w:val="left"/>
        <w:rPr/>
      </w:pPr>
      <w:r>
        <w:rPr/>
        <w:t>Section 5: Discussion (2–3 pages)</w:t>
      </w:r>
    </w:p>
    <w:p>
      <w:pPr>
        <w:pStyle w:val="Brdtekst"/>
        <w:numPr>
          <w:ilvl w:val="0"/>
          <w:numId w:val="28"/>
        </w:numPr>
        <w:tabs>
          <w:tab w:val="clear" w:pos="709"/>
          <w:tab w:val="left" w:pos="709" w:leader="none"/>
        </w:tabs>
        <w:bidi w:val="0"/>
        <w:ind w:left="709" w:hanging="283"/>
        <w:jc w:val="left"/>
        <w:rPr/>
      </w:pPr>
      <w:r>
        <w:rPr/>
        <w:t>Section 6: Conclusion (1–2 pages)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pStyle w:val="Overskrift1"/>
      <w:numFmt w:val="none"/>
      <w:suff w:val="nothing"/>
      <w:lvlText w:val=""/>
      <w:lvlJc w:val="left"/>
      <w:pPr>
        <w:tabs>
          <w:tab w:val="num" w:pos="0"/>
        </w:tabs>
        <w:ind w:left="0" w:hanging="0"/>
      </w:pPr>
    </w:lvl>
    <w:lvl w:ilvl="1">
      <w:start w:val="1"/>
      <w:pStyle w:val="Overskrift2"/>
      <w:numFmt w:val="none"/>
      <w:suff w:val="nothing"/>
      <w:lvlText w:val=""/>
      <w:lvlJc w:val="left"/>
      <w:pPr>
        <w:tabs>
          <w:tab w:val="num" w:pos="0"/>
        </w:tabs>
        <w:ind w:left="0" w:hanging="0"/>
      </w:pPr>
    </w:lvl>
    <w:lvl w:ilvl="2">
      <w:start w:val="1"/>
      <w:pStyle w:val="Overskrift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Overskrift5"/>
      <w:numFmt w:val="none"/>
      <w:suff w:val="nothing"/>
      <w:lvlText w:val=""/>
      <w:lvlJc w:val="left"/>
      <w:pPr>
        <w:tabs>
          <w:tab w:val="num" w:pos="0"/>
        </w:tabs>
        <w:ind w:left="0" w:hanging="0"/>
      </w:pPr>
    </w:lvl>
    <w:lvl w:ilvl="5">
      <w:start w:val="1"/>
      <w:pStyle w:val="Overskrift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da-DK"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da-DK" w:eastAsia="zh-CN" w:bidi="hi-IN"/>
    </w:rPr>
  </w:style>
  <w:style w:type="paragraph" w:styleId="Overskrift1">
    <w:name w:val="Heading 1"/>
    <w:basedOn w:val="Overskrift"/>
    <w:next w:val="Brdtekst"/>
    <w:qFormat/>
    <w:pPr>
      <w:spacing w:before="240" w:after="120"/>
      <w:outlineLvl w:val="0"/>
    </w:pPr>
    <w:rPr>
      <w:rFonts w:ascii="Liberation Serif" w:hAnsi="Liberation Serif" w:eastAsia="Noto Serif CJK SC" w:cs="Lohit Devanagari"/>
      <w:b/>
      <w:bCs/>
      <w:sz w:val="48"/>
      <w:szCs w:val="48"/>
    </w:rPr>
  </w:style>
  <w:style w:type="paragraph" w:styleId="Overskrift2">
    <w:name w:val="Heading 2"/>
    <w:basedOn w:val="Overskrift"/>
    <w:next w:val="Brdtekst"/>
    <w:qFormat/>
    <w:pPr>
      <w:spacing w:before="200" w:after="120"/>
      <w:outlineLvl w:val="1"/>
    </w:pPr>
    <w:rPr>
      <w:rFonts w:ascii="Liberation Serif" w:hAnsi="Liberation Serif" w:eastAsia="Noto Serif CJK SC" w:cs="Lohit Devanagari"/>
      <w:b/>
      <w:bCs/>
      <w:sz w:val="36"/>
      <w:szCs w:val="36"/>
    </w:rPr>
  </w:style>
  <w:style w:type="paragraph" w:styleId="Overskrift3">
    <w:name w:val="Heading 3"/>
    <w:basedOn w:val="Overskrift"/>
    <w:next w:val="Brdtekst"/>
    <w:qFormat/>
    <w:pPr>
      <w:spacing w:before="140" w:after="120"/>
      <w:outlineLvl w:val="2"/>
    </w:pPr>
    <w:rPr>
      <w:rFonts w:ascii="Liberation Serif" w:hAnsi="Liberation Serif" w:eastAsia="Noto Serif CJK SC" w:cs="Lohit Devanagari"/>
      <w:b/>
      <w:bCs/>
      <w:sz w:val="28"/>
      <w:szCs w:val="28"/>
    </w:rPr>
  </w:style>
  <w:style w:type="paragraph" w:styleId="Overskrift5">
    <w:name w:val="Heading 5"/>
    <w:basedOn w:val="Overskrift"/>
    <w:next w:val="Brdtekst"/>
    <w:qFormat/>
    <w:pPr>
      <w:spacing w:before="120" w:after="60"/>
      <w:outlineLvl w:val="4"/>
    </w:pPr>
    <w:rPr>
      <w:rFonts w:ascii="Liberation Serif" w:hAnsi="Liberation Serif" w:eastAsia="Noto Serif CJK SC" w:cs="Lohit Devanagari"/>
      <w:b/>
      <w:bCs/>
      <w:sz w:val="20"/>
      <w:szCs w:val="20"/>
    </w:rPr>
  </w:style>
  <w:style w:type="paragraph" w:styleId="Overskrift6">
    <w:name w:val="Heading 6"/>
    <w:basedOn w:val="Overskrift"/>
    <w:next w:val="Brdtekst"/>
    <w:qFormat/>
    <w:pPr>
      <w:spacing w:before="60" w:after="60"/>
      <w:outlineLvl w:val="5"/>
    </w:pPr>
    <w:rPr>
      <w:rFonts w:ascii="Liberation Serif" w:hAnsi="Liberation Serif" w:eastAsia="Noto Serif CJK SC" w:cs="Lohit Devanagari"/>
      <w:b/>
      <w:bCs/>
      <w:sz w:val="14"/>
      <w:szCs w:val="14"/>
    </w:rPr>
  </w:style>
  <w:style w:type="character" w:styleId="Fremhvet">
    <w:name w:val="Fremhævet"/>
    <w:qFormat/>
    <w:rPr>
      <w:i/>
      <w:iCs/>
    </w:rPr>
  </w:style>
  <w:style w:type="character" w:styleId="Strkfremhvet">
    <w:name w:val="Stærk fremhævet"/>
    <w:qFormat/>
    <w:rPr>
      <w:b/>
      <w:bCs/>
    </w:rPr>
  </w:style>
  <w:style w:type="character" w:styleId="Kildetekst">
    <w:name w:val="Kildetekst"/>
    <w:qFormat/>
    <w:rPr>
      <w:rFonts w:ascii="Liberation Mono" w:hAnsi="Liberation Mono" w:eastAsia="Noto Sans Mono CJK SC" w:cs="Liberation Mono"/>
    </w:rPr>
  </w:style>
  <w:style w:type="character" w:styleId="Punktopstilling">
    <w:name w:val="Punktopstilling"/>
    <w:qFormat/>
    <w:rPr>
      <w:rFonts w:ascii="OpenSymbol" w:hAnsi="OpenSymbol" w:eastAsia="OpenSymbol" w:cs="OpenSymbol"/>
    </w:rPr>
  </w:style>
  <w:style w:type="character" w:styleId="Nummereringstegn">
    <w:name w:val="Nummereringstegn"/>
    <w:qFormat/>
    <w:rPr/>
  </w:style>
  <w:style w:type="paragraph" w:styleId="Overskrift">
    <w:name w:val="Overskrift"/>
    <w:basedOn w:val="Normal"/>
    <w:next w:val="Brdtekst"/>
    <w:qFormat/>
    <w:pPr>
      <w:keepNext w:val="true"/>
      <w:spacing w:before="240" w:after="120"/>
    </w:pPr>
    <w:rPr>
      <w:rFonts w:ascii="Liberation Sans" w:hAnsi="Liberation Sans" w:eastAsia="Noto Sans CJK SC" w:cs="Lohit Devanagari"/>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ohit Devanagari"/>
    </w:rPr>
  </w:style>
  <w:style w:type="paragraph" w:styleId="Billedtekst">
    <w:name w:val="Caption"/>
    <w:basedOn w:val="Normal"/>
    <w:qFormat/>
    <w:pPr>
      <w:suppressLineNumbers/>
      <w:spacing w:before="120" w:after="120"/>
    </w:pPr>
    <w:rPr>
      <w:rFonts w:cs="Lohit Devanagari"/>
      <w:i/>
      <w:iCs/>
      <w:sz w:val="24"/>
      <w:szCs w:val="24"/>
    </w:rPr>
  </w:style>
  <w:style w:type="paragraph" w:styleId="Indeks">
    <w:name w:val="Indeks"/>
    <w:basedOn w:val="Normal"/>
    <w:qFormat/>
    <w:pPr>
      <w:suppressLineNumbers/>
    </w:pPr>
    <w:rPr>
      <w:rFonts w:cs="Lohit Devanagari"/>
    </w:rPr>
  </w:style>
  <w:style w:type="paragraph" w:styleId="Vandretlinje">
    <w:name w:val="Vandret linje"/>
    <w:basedOn w:val="Normal"/>
    <w:next w:val="Brdtekst"/>
    <w:qFormat/>
    <w:pPr>
      <w:suppressLineNumbers/>
      <w:pBdr>
        <w:bottom w:val="double" w:sz="2" w:space="0" w:color="808080"/>
      </w:pBdr>
      <w:spacing w:before="0" w:after="283"/>
    </w:pPr>
    <w:rPr>
      <w:sz w:val="12"/>
      <w:szCs w:val="12"/>
    </w:rPr>
  </w:style>
  <w:style w:type="paragraph" w:styleId="Prformaterettekst">
    <w:name w:val="Præformateret tekst"/>
    <w:basedOn w:val="Normal"/>
    <w:qFormat/>
    <w:pPr>
      <w:spacing w:before="0" w:after="0"/>
    </w:pPr>
    <w:rPr>
      <w:rFonts w:ascii="Liberation Mono" w:hAnsi="Liberation Mono" w:eastAsia="Noto Sans Mono CJK SC" w:cs="Liberation Mono"/>
      <w:sz w:val="20"/>
      <w:szCs w:val="20"/>
    </w:rPr>
  </w:style>
  <w:style w:type="paragraph" w:styleId="Tabelindhold">
    <w:name w:val="Tabelindhold"/>
    <w:basedOn w:val="Normal"/>
    <w:qFormat/>
    <w:pPr>
      <w:widowControl w:val="false"/>
      <w:suppressLineNumbers/>
    </w:pPr>
    <w:rPr/>
  </w:style>
  <w:style w:type="paragraph" w:styleId="Tabeloverskrift">
    <w:name w:val="Tabeloverskrift"/>
    <w:basedOn w:val="Tabelindhold"/>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18</Pages>
  <Words>5647</Words>
  <Characters>34754</Characters>
  <CharactersWithSpaces>39923</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2025-09-27T10:34:03Z</dcterms:created>
  <dc:creator/>
  <dc:description/>
  <dc:language>da-DK</dc:language>
  <cp:lastModifiedBy/>
  <dcterms:modified xsi:type="dcterms:W3CDTF">2025-09-27T10:34:44Z</dcterms:modified>
  <cp:revision>1</cp:revision>
  <dc:subject/>
  <dc:title/>
</cp:coreProperties>
</file>