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AAA58" w14:textId="77777777" w:rsidR="000F4462" w:rsidRDefault="000F4462" w:rsidP="00230ED8">
      <w:pPr>
        <w:jc w:val="center"/>
      </w:pPr>
    </w:p>
    <w:p w14:paraId="45684EFB" w14:textId="77777777" w:rsidR="00230ED8" w:rsidRDefault="00230ED8" w:rsidP="00230ED8">
      <w:pPr>
        <w:jc w:val="center"/>
      </w:pPr>
    </w:p>
    <w:p w14:paraId="2C0C966A" w14:textId="77777777" w:rsidR="00230ED8" w:rsidRDefault="00230ED8" w:rsidP="00230ED8">
      <w:pPr>
        <w:jc w:val="center"/>
      </w:pPr>
    </w:p>
    <w:p w14:paraId="00D07401" w14:textId="77777777" w:rsidR="00230ED8" w:rsidRDefault="00230ED8" w:rsidP="00230ED8">
      <w:pPr>
        <w:jc w:val="center"/>
      </w:pPr>
    </w:p>
    <w:p w14:paraId="69F5CE74" w14:textId="77777777" w:rsidR="00230ED8" w:rsidRDefault="00230ED8" w:rsidP="00230ED8">
      <w:pPr>
        <w:jc w:val="center"/>
      </w:pPr>
    </w:p>
    <w:p w14:paraId="5099E99F" w14:textId="77777777" w:rsidR="00230ED8" w:rsidRDefault="00230ED8" w:rsidP="00230ED8">
      <w:pPr>
        <w:jc w:val="center"/>
      </w:pPr>
    </w:p>
    <w:p w14:paraId="2918DA18" w14:textId="77777777" w:rsidR="00230ED8" w:rsidRDefault="00230ED8" w:rsidP="00230ED8">
      <w:pPr>
        <w:jc w:val="center"/>
      </w:pPr>
    </w:p>
    <w:p w14:paraId="22B3C830" w14:textId="77777777" w:rsidR="00230ED8" w:rsidRDefault="00230ED8" w:rsidP="00230ED8">
      <w:pPr>
        <w:jc w:val="center"/>
      </w:pPr>
    </w:p>
    <w:p w14:paraId="17765A28" w14:textId="77777777" w:rsidR="00230ED8" w:rsidRDefault="00230ED8" w:rsidP="00230ED8">
      <w:pPr>
        <w:jc w:val="center"/>
      </w:pPr>
    </w:p>
    <w:p w14:paraId="2AF2C345" w14:textId="77777777" w:rsidR="00230ED8" w:rsidRDefault="00230ED8" w:rsidP="00230ED8">
      <w:pPr>
        <w:jc w:val="center"/>
      </w:pPr>
    </w:p>
    <w:p w14:paraId="0A826753" w14:textId="77777777" w:rsidR="00230ED8" w:rsidRDefault="00230ED8" w:rsidP="00230ED8">
      <w:pPr>
        <w:jc w:val="center"/>
        <w:rPr>
          <w:rFonts w:ascii="Times New Roman" w:hAnsi="Times New Roman" w:cs="Times New Roman"/>
          <w:sz w:val="24"/>
          <w:szCs w:val="24"/>
        </w:rPr>
      </w:pPr>
    </w:p>
    <w:p w14:paraId="0BCA207A" w14:textId="77777777" w:rsidR="00230ED8" w:rsidRDefault="00230ED8" w:rsidP="00230ED8">
      <w:pPr>
        <w:jc w:val="center"/>
        <w:rPr>
          <w:rFonts w:ascii="Times New Roman" w:hAnsi="Times New Roman" w:cs="Times New Roman"/>
          <w:sz w:val="24"/>
          <w:szCs w:val="24"/>
        </w:rPr>
      </w:pPr>
    </w:p>
    <w:p w14:paraId="4FF8675D" w14:textId="47C2808B" w:rsidR="00230ED8" w:rsidRDefault="00230ED8" w:rsidP="00230ED8">
      <w:pPr>
        <w:jc w:val="center"/>
        <w:rPr>
          <w:rFonts w:ascii="Times New Roman" w:hAnsi="Times New Roman" w:cs="Times New Roman"/>
          <w:sz w:val="24"/>
          <w:szCs w:val="24"/>
        </w:rPr>
      </w:pPr>
      <w:r>
        <w:rPr>
          <w:rFonts w:ascii="Times New Roman" w:hAnsi="Times New Roman" w:cs="Times New Roman"/>
          <w:sz w:val="24"/>
          <w:szCs w:val="24"/>
        </w:rPr>
        <w:t>Digital Forensics, Law and Ethics</w:t>
      </w:r>
    </w:p>
    <w:p w14:paraId="4938A86E" w14:textId="1A3585B3" w:rsidR="00230ED8" w:rsidRDefault="00230ED8" w:rsidP="00230ED8">
      <w:pPr>
        <w:jc w:val="center"/>
        <w:rPr>
          <w:rFonts w:ascii="Times New Roman" w:hAnsi="Times New Roman" w:cs="Times New Roman"/>
          <w:sz w:val="24"/>
          <w:szCs w:val="24"/>
        </w:rPr>
      </w:pPr>
      <w:r>
        <w:rPr>
          <w:rFonts w:ascii="Times New Roman" w:hAnsi="Times New Roman" w:cs="Times New Roman"/>
          <w:sz w:val="24"/>
          <w:szCs w:val="24"/>
        </w:rPr>
        <w:t>Ryan Coon</w:t>
      </w:r>
    </w:p>
    <w:p w14:paraId="2A342EEA" w14:textId="7B976771" w:rsidR="00230ED8" w:rsidRDefault="00230ED8" w:rsidP="00230ED8">
      <w:pPr>
        <w:jc w:val="center"/>
        <w:rPr>
          <w:rFonts w:ascii="Times New Roman" w:hAnsi="Times New Roman" w:cs="Times New Roman"/>
          <w:sz w:val="24"/>
          <w:szCs w:val="24"/>
        </w:rPr>
      </w:pPr>
      <w:r>
        <w:rPr>
          <w:rFonts w:ascii="Times New Roman" w:hAnsi="Times New Roman" w:cs="Times New Roman"/>
          <w:sz w:val="24"/>
          <w:szCs w:val="24"/>
        </w:rPr>
        <w:t>CYB-535</w:t>
      </w:r>
    </w:p>
    <w:p w14:paraId="0CBDAB02" w14:textId="5B210F6A" w:rsidR="00230ED8" w:rsidRDefault="00230ED8" w:rsidP="00230ED8">
      <w:pPr>
        <w:jc w:val="center"/>
        <w:rPr>
          <w:rFonts w:ascii="Times New Roman" w:hAnsi="Times New Roman" w:cs="Times New Roman"/>
          <w:sz w:val="24"/>
          <w:szCs w:val="24"/>
        </w:rPr>
      </w:pPr>
      <w:r>
        <w:rPr>
          <w:rFonts w:ascii="Times New Roman" w:hAnsi="Times New Roman" w:cs="Times New Roman"/>
          <w:sz w:val="24"/>
          <w:szCs w:val="24"/>
        </w:rPr>
        <w:t>Dr. Edward Marchewka</w:t>
      </w:r>
    </w:p>
    <w:p w14:paraId="629C0B69" w14:textId="544C1BA4" w:rsidR="00230ED8" w:rsidRDefault="00230ED8" w:rsidP="00230ED8">
      <w:pPr>
        <w:jc w:val="center"/>
        <w:rPr>
          <w:rFonts w:ascii="Times New Roman" w:hAnsi="Times New Roman" w:cs="Times New Roman"/>
          <w:sz w:val="24"/>
          <w:szCs w:val="24"/>
        </w:rPr>
      </w:pPr>
      <w:r>
        <w:rPr>
          <w:rFonts w:ascii="Times New Roman" w:hAnsi="Times New Roman" w:cs="Times New Roman"/>
          <w:sz w:val="24"/>
          <w:szCs w:val="24"/>
        </w:rPr>
        <w:t>February 5, 2025</w:t>
      </w:r>
    </w:p>
    <w:p w14:paraId="6B0FE69F" w14:textId="77777777" w:rsidR="00230ED8" w:rsidRDefault="00230ED8" w:rsidP="00230ED8">
      <w:pPr>
        <w:rPr>
          <w:rFonts w:ascii="Times New Roman" w:hAnsi="Times New Roman" w:cs="Times New Roman"/>
          <w:sz w:val="24"/>
          <w:szCs w:val="24"/>
        </w:rPr>
      </w:pPr>
    </w:p>
    <w:p w14:paraId="548D19B8" w14:textId="77777777" w:rsidR="00230ED8" w:rsidRDefault="00230ED8" w:rsidP="00230ED8">
      <w:pPr>
        <w:rPr>
          <w:rFonts w:ascii="Times New Roman" w:hAnsi="Times New Roman" w:cs="Times New Roman"/>
          <w:sz w:val="24"/>
          <w:szCs w:val="24"/>
        </w:rPr>
      </w:pPr>
    </w:p>
    <w:p w14:paraId="2F2CFBF6" w14:textId="77777777" w:rsidR="00230ED8" w:rsidRDefault="00230ED8" w:rsidP="00230ED8">
      <w:pPr>
        <w:rPr>
          <w:rFonts w:ascii="Times New Roman" w:hAnsi="Times New Roman" w:cs="Times New Roman"/>
          <w:sz w:val="24"/>
          <w:szCs w:val="24"/>
        </w:rPr>
      </w:pPr>
    </w:p>
    <w:p w14:paraId="60AF3F47" w14:textId="77777777" w:rsidR="00230ED8" w:rsidRDefault="00230ED8" w:rsidP="00230ED8">
      <w:pPr>
        <w:rPr>
          <w:rFonts w:ascii="Times New Roman" w:hAnsi="Times New Roman" w:cs="Times New Roman"/>
          <w:sz w:val="24"/>
          <w:szCs w:val="24"/>
        </w:rPr>
      </w:pPr>
    </w:p>
    <w:p w14:paraId="40983C00" w14:textId="77777777" w:rsidR="00230ED8" w:rsidRDefault="00230ED8" w:rsidP="00230ED8">
      <w:pPr>
        <w:rPr>
          <w:rFonts w:ascii="Times New Roman" w:hAnsi="Times New Roman" w:cs="Times New Roman"/>
          <w:sz w:val="24"/>
          <w:szCs w:val="24"/>
        </w:rPr>
      </w:pPr>
    </w:p>
    <w:p w14:paraId="353D4DA9" w14:textId="77777777" w:rsidR="00230ED8" w:rsidRDefault="00230ED8" w:rsidP="00230ED8">
      <w:pPr>
        <w:rPr>
          <w:rFonts w:ascii="Times New Roman" w:hAnsi="Times New Roman" w:cs="Times New Roman"/>
          <w:sz w:val="24"/>
          <w:szCs w:val="24"/>
        </w:rPr>
      </w:pPr>
    </w:p>
    <w:p w14:paraId="22B9B333" w14:textId="77777777" w:rsidR="00230ED8" w:rsidRDefault="00230ED8" w:rsidP="00230ED8">
      <w:pPr>
        <w:rPr>
          <w:rFonts w:ascii="Times New Roman" w:hAnsi="Times New Roman" w:cs="Times New Roman"/>
          <w:sz w:val="24"/>
          <w:szCs w:val="24"/>
        </w:rPr>
      </w:pPr>
    </w:p>
    <w:p w14:paraId="60A938B5" w14:textId="77777777" w:rsidR="00230ED8" w:rsidRDefault="00230ED8" w:rsidP="00230ED8">
      <w:pPr>
        <w:rPr>
          <w:rFonts w:ascii="Times New Roman" w:hAnsi="Times New Roman" w:cs="Times New Roman"/>
          <w:sz w:val="24"/>
          <w:szCs w:val="24"/>
        </w:rPr>
      </w:pPr>
    </w:p>
    <w:p w14:paraId="03248246" w14:textId="77777777" w:rsidR="00230ED8" w:rsidRDefault="00230ED8" w:rsidP="00230ED8">
      <w:pPr>
        <w:rPr>
          <w:rFonts w:ascii="Times New Roman" w:hAnsi="Times New Roman" w:cs="Times New Roman"/>
          <w:sz w:val="24"/>
          <w:szCs w:val="24"/>
        </w:rPr>
      </w:pPr>
    </w:p>
    <w:p w14:paraId="4D435940" w14:textId="77777777" w:rsidR="00230ED8" w:rsidRDefault="00230ED8" w:rsidP="00230ED8">
      <w:pPr>
        <w:rPr>
          <w:rFonts w:ascii="Times New Roman" w:hAnsi="Times New Roman" w:cs="Times New Roman"/>
          <w:sz w:val="24"/>
          <w:szCs w:val="24"/>
        </w:rPr>
      </w:pPr>
    </w:p>
    <w:p w14:paraId="0EA1E867" w14:textId="77777777" w:rsidR="00230ED8" w:rsidRDefault="00230ED8" w:rsidP="00230ED8">
      <w:pPr>
        <w:rPr>
          <w:rFonts w:ascii="Times New Roman" w:hAnsi="Times New Roman" w:cs="Times New Roman"/>
          <w:sz w:val="24"/>
          <w:szCs w:val="24"/>
        </w:rPr>
      </w:pPr>
    </w:p>
    <w:p w14:paraId="4224DEF9" w14:textId="347371A9" w:rsidR="00230ED8" w:rsidRDefault="00230ED8" w:rsidP="00230ED8">
      <w:pPr>
        <w:rPr>
          <w:rFonts w:ascii="Times New Roman" w:hAnsi="Times New Roman" w:cs="Times New Roman"/>
          <w:sz w:val="24"/>
          <w:szCs w:val="24"/>
        </w:rPr>
      </w:pPr>
      <w:r>
        <w:rPr>
          <w:rFonts w:ascii="Times New Roman" w:hAnsi="Times New Roman" w:cs="Times New Roman"/>
          <w:sz w:val="24"/>
          <w:szCs w:val="24"/>
        </w:rPr>
        <w:lastRenderedPageBreak/>
        <w:t>Part 1:</w:t>
      </w:r>
    </w:p>
    <w:p w14:paraId="75A1BCF4"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t>What is the purpose of digital forensics?</w:t>
      </w:r>
    </w:p>
    <w:p w14:paraId="4B8911B8" w14:textId="476CC02F"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The primary purpose of digital forensics is to identify, preserve, analyze, and present data in a manner that is legally acceptable in the context of investigations involving computer crimes. Digital forensics helps uncover evidence that can be used in criminal or civil cases, often involving data recovery from digital devices, network logs, and other electronic sources.</w:t>
      </w:r>
    </w:p>
    <w:p w14:paraId="58DAC949"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t>Explain why it is important for any organization to sustain a permanent digital forensics team.</w:t>
      </w:r>
    </w:p>
    <w:p w14:paraId="0942C761"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Having a permanent digital forensics team is crucial for any organization due to several reasons:</w:t>
      </w:r>
    </w:p>
    <w:p w14:paraId="61E7926D"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Rapid Response: Cyber incidents can happen at any time, and having a dedicated team ensures a swift response to mitigate damage.</w:t>
      </w:r>
    </w:p>
    <w:p w14:paraId="0BE956AA"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Expertise: A permanent team develops specialized skills and knowledge over time, improving the organization's ability to handle sophisticated cyber threats.</w:t>
      </w:r>
    </w:p>
    <w:p w14:paraId="11AE5CED"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Compliance and Risk Management: As regulations around data protection tighten, a dedicated team helps ensure compliance with laws and regulations, reducing legal risks.</w:t>
      </w:r>
    </w:p>
    <w:p w14:paraId="692FA72B"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Incident Analysis and Prevention: Continuous monitoring and analysis of incidents can lead to improved security measures and protocols, preventing future breaches.</w:t>
      </w:r>
    </w:p>
    <w:p w14:paraId="2A9BE2A2" w14:textId="77777777" w:rsidR="00230ED8" w:rsidRPr="00230ED8" w:rsidRDefault="00230ED8" w:rsidP="00230ED8">
      <w:pPr>
        <w:rPr>
          <w:rFonts w:ascii="Times New Roman" w:hAnsi="Times New Roman" w:cs="Times New Roman"/>
          <w:sz w:val="24"/>
          <w:szCs w:val="24"/>
        </w:rPr>
      </w:pPr>
    </w:p>
    <w:p w14:paraId="5C68DE0B"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t>In digital forensics, must all investigations follow the same basic methodology? Justify your rationale and explain the steps involved in this methodology.</w:t>
      </w:r>
    </w:p>
    <w:p w14:paraId="53A0CC32"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While there are common methodologies in digital forensics, not all investigations must follow the same basic methodology due to the unique nature of each case. However, a widely accepted framework includes the following steps:</w:t>
      </w:r>
    </w:p>
    <w:p w14:paraId="5AC67D25" w14:textId="77777777" w:rsidR="00230ED8" w:rsidRPr="00230ED8" w:rsidRDefault="00230ED8" w:rsidP="00230ED8">
      <w:pPr>
        <w:pStyle w:val="ListParagraph"/>
        <w:numPr>
          <w:ilvl w:val="0"/>
          <w:numId w:val="4"/>
        </w:numPr>
        <w:rPr>
          <w:rFonts w:ascii="Times New Roman" w:hAnsi="Times New Roman" w:cs="Times New Roman"/>
          <w:sz w:val="24"/>
          <w:szCs w:val="24"/>
        </w:rPr>
      </w:pPr>
      <w:r w:rsidRPr="00230ED8">
        <w:rPr>
          <w:rFonts w:ascii="Times New Roman" w:hAnsi="Times New Roman" w:cs="Times New Roman"/>
          <w:sz w:val="24"/>
          <w:szCs w:val="24"/>
        </w:rPr>
        <w:t>Identification: Determine the scope of the investigation and identify the devices and data sources involved.</w:t>
      </w:r>
    </w:p>
    <w:p w14:paraId="0BBBCC43" w14:textId="77777777" w:rsidR="00230ED8" w:rsidRPr="00230ED8" w:rsidRDefault="00230ED8" w:rsidP="00230ED8">
      <w:pPr>
        <w:pStyle w:val="ListParagraph"/>
        <w:numPr>
          <w:ilvl w:val="0"/>
          <w:numId w:val="4"/>
        </w:numPr>
        <w:rPr>
          <w:rFonts w:ascii="Times New Roman" w:hAnsi="Times New Roman" w:cs="Times New Roman"/>
          <w:sz w:val="24"/>
          <w:szCs w:val="24"/>
        </w:rPr>
      </w:pPr>
      <w:r w:rsidRPr="00230ED8">
        <w:rPr>
          <w:rFonts w:ascii="Times New Roman" w:hAnsi="Times New Roman" w:cs="Times New Roman"/>
          <w:sz w:val="24"/>
          <w:szCs w:val="24"/>
        </w:rPr>
        <w:t xml:space="preserve">Preservation: Securely collect and preserve </w:t>
      </w:r>
      <w:proofErr w:type="gramStart"/>
      <w:r w:rsidRPr="00230ED8">
        <w:rPr>
          <w:rFonts w:ascii="Times New Roman" w:hAnsi="Times New Roman" w:cs="Times New Roman"/>
          <w:sz w:val="24"/>
          <w:szCs w:val="24"/>
        </w:rPr>
        <w:t>the digital</w:t>
      </w:r>
      <w:proofErr w:type="gramEnd"/>
      <w:r w:rsidRPr="00230ED8">
        <w:rPr>
          <w:rFonts w:ascii="Times New Roman" w:hAnsi="Times New Roman" w:cs="Times New Roman"/>
          <w:sz w:val="24"/>
          <w:szCs w:val="24"/>
        </w:rPr>
        <w:t xml:space="preserve"> evidence to prevent alteration or loss, often creating bit-for-bit images of storage media.</w:t>
      </w:r>
    </w:p>
    <w:p w14:paraId="3E97D552" w14:textId="77777777" w:rsidR="00230ED8" w:rsidRPr="00230ED8" w:rsidRDefault="00230ED8" w:rsidP="00230ED8">
      <w:pPr>
        <w:pStyle w:val="ListParagraph"/>
        <w:numPr>
          <w:ilvl w:val="0"/>
          <w:numId w:val="4"/>
        </w:numPr>
        <w:rPr>
          <w:rFonts w:ascii="Times New Roman" w:hAnsi="Times New Roman" w:cs="Times New Roman"/>
          <w:sz w:val="24"/>
          <w:szCs w:val="24"/>
        </w:rPr>
      </w:pPr>
      <w:r w:rsidRPr="00230ED8">
        <w:rPr>
          <w:rFonts w:ascii="Times New Roman" w:hAnsi="Times New Roman" w:cs="Times New Roman"/>
          <w:sz w:val="24"/>
          <w:szCs w:val="24"/>
        </w:rPr>
        <w:t>Analysis: Examine the preserved data using forensic tools to uncover relevant information, patterns, or anomalies.</w:t>
      </w:r>
    </w:p>
    <w:p w14:paraId="61DF805B" w14:textId="77777777" w:rsidR="00230ED8" w:rsidRPr="00230ED8" w:rsidRDefault="00230ED8" w:rsidP="00230ED8">
      <w:pPr>
        <w:pStyle w:val="ListParagraph"/>
        <w:numPr>
          <w:ilvl w:val="0"/>
          <w:numId w:val="4"/>
        </w:numPr>
        <w:rPr>
          <w:rFonts w:ascii="Times New Roman" w:hAnsi="Times New Roman" w:cs="Times New Roman"/>
          <w:sz w:val="24"/>
          <w:szCs w:val="24"/>
        </w:rPr>
      </w:pPr>
      <w:r w:rsidRPr="00230ED8">
        <w:rPr>
          <w:rFonts w:ascii="Times New Roman" w:hAnsi="Times New Roman" w:cs="Times New Roman"/>
          <w:sz w:val="24"/>
          <w:szCs w:val="24"/>
        </w:rPr>
        <w:t>Documentation: Maintain detailed records of the entire process, including evidence collection, analysis methods, and findings, to ensure transparency and credibility.</w:t>
      </w:r>
    </w:p>
    <w:p w14:paraId="564C0D88" w14:textId="77777777" w:rsidR="00230ED8" w:rsidRPr="00230ED8" w:rsidRDefault="00230ED8" w:rsidP="00230ED8">
      <w:pPr>
        <w:pStyle w:val="ListParagraph"/>
        <w:numPr>
          <w:ilvl w:val="0"/>
          <w:numId w:val="4"/>
        </w:numPr>
        <w:rPr>
          <w:rFonts w:ascii="Times New Roman" w:hAnsi="Times New Roman" w:cs="Times New Roman"/>
          <w:sz w:val="24"/>
          <w:szCs w:val="24"/>
        </w:rPr>
      </w:pPr>
      <w:r w:rsidRPr="00230ED8">
        <w:rPr>
          <w:rFonts w:ascii="Times New Roman" w:hAnsi="Times New Roman" w:cs="Times New Roman"/>
          <w:sz w:val="24"/>
          <w:szCs w:val="24"/>
        </w:rPr>
        <w:t>Presentation: Present the findings in a clear and understandable manner, often in a court of law, to support legal proceedings.</w:t>
      </w:r>
    </w:p>
    <w:p w14:paraId="1F1EB274" w14:textId="77777777" w:rsidR="00230ED8" w:rsidRPr="00230ED8" w:rsidRDefault="00230ED8" w:rsidP="00230ED8">
      <w:pPr>
        <w:rPr>
          <w:rFonts w:ascii="Times New Roman" w:hAnsi="Times New Roman" w:cs="Times New Roman"/>
          <w:sz w:val="24"/>
          <w:szCs w:val="24"/>
        </w:rPr>
      </w:pPr>
    </w:p>
    <w:p w14:paraId="3E1B34BF"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lastRenderedPageBreak/>
        <w:t>Concerning digital forensics, list the applicable laws and policies related to cyber defense and describe the major components of each pertaining to the storage and transmission of data. Note: This information can be presented in a table or chart.</w:t>
      </w:r>
    </w:p>
    <w:tbl>
      <w:tblPr>
        <w:tblStyle w:val="TableGrid"/>
        <w:tblW w:w="0" w:type="auto"/>
        <w:tblLook w:val="04A0" w:firstRow="1" w:lastRow="0" w:firstColumn="1" w:lastColumn="0" w:noHBand="0" w:noVBand="1"/>
      </w:tblPr>
      <w:tblGrid>
        <w:gridCol w:w="3116"/>
        <w:gridCol w:w="3117"/>
        <w:gridCol w:w="3117"/>
      </w:tblGrid>
      <w:tr w:rsidR="00C40D34" w14:paraId="685D4DBE" w14:textId="77777777" w:rsidTr="00C40D34">
        <w:tc>
          <w:tcPr>
            <w:tcW w:w="3116" w:type="dxa"/>
          </w:tcPr>
          <w:p w14:paraId="3C6A9B8E" w14:textId="28D2A344" w:rsidR="00C40D34" w:rsidRDefault="00C40D34" w:rsidP="00C40D34">
            <w:pPr>
              <w:jc w:val="center"/>
              <w:rPr>
                <w:rFonts w:ascii="Times New Roman" w:hAnsi="Times New Roman" w:cs="Times New Roman"/>
                <w:sz w:val="24"/>
                <w:szCs w:val="24"/>
              </w:rPr>
            </w:pPr>
            <w:r>
              <w:rPr>
                <w:rFonts w:ascii="Times New Roman" w:hAnsi="Times New Roman" w:cs="Times New Roman"/>
                <w:sz w:val="24"/>
                <w:szCs w:val="24"/>
              </w:rPr>
              <w:t>Law/Policy</w:t>
            </w:r>
          </w:p>
        </w:tc>
        <w:tc>
          <w:tcPr>
            <w:tcW w:w="3117" w:type="dxa"/>
          </w:tcPr>
          <w:p w14:paraId="60DE7C90" w14:textId="3754BEFC" w:rsidR="00C40D34" w:rsidRDefault="00C40D34" w:rsidP="00C40D34">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3117" w:type="dxa"/>
          </w:tcPr>
          <w:p w14:paraId="525D8251" w14:textId="40D3D145" w:rsidR="00C40D34" w:rsidRDefault="00C40D34" w:rsidP="00C40D34">
            <w:pPr>
              <w:jc w:val="center"/>
              <w:rPr>
                <w:rFonts w:ascii="Times New Roman" w:hAnsi="Times New Roman" w:cs="Times New Roman"/>
                <w:sz w:val="24"/>
                <w:szCs w:val="24"/>
              </w:rPr>
            </w:pPr>
            <w:r>
              <w:rPr>
                <w:rFonts w:ascii="Times New Roman" w:hAnsi="Times New Roman" w:cs="Times New Roman"/>
                <w:sz w:val="24"/>
                <w:szCs w:val="24"/>
              </w:rPr>
              <w:t>Major Components</w:t>
            </w:r>
          </w:p>
        </w:tc>
      </w:tr>
      <w:tr w:rsidR="00C40D34" w14:paraId="04A72BEB" w14:textId="77777777" w:rsidTr="00C40D34">
        <w:tc>
          <w:tcPr>
            <w:tcW w:w="3116" w:type="dxa"/>
          </w:tcPr>
          <w:p w14:paraId="5E7C5693" w14:textId="0CCD5106"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Computer Fraud and Abuse Act (CFAA)</w:t>
            </w:r>
          </w:p>
        </w:tc>
        <w:tc>
          <w:tcPr>
            <w:tcW w:w="3117" w:type="dxa"/>
          </w:tcPr>
          <w:p w14:paraId="63123C76" w14:textId="18A39EB3"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Addresses computer fraud and related activity in the U.S.</w:t>
            </w:r>
          </w:p>
        </w:tc>
        <w:tc>
          <w:tcPr>
            <w:tcW w:w="3117" w:type="dxa"/>
          </w:tcPr>
          <w:p w14:paraId="4DA66CC2" w14:textId="0E6AF50F"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Prohibits unauthorized access to computers and data.</w:t>
            </w:r>
          </w:p>
        </w:tc>
      </w:tr>
      <w:tr w:rsidR="00C40D34" w14:paraId="36CD318A" w14:textId="77777777" w:rsidTr="00C40D34">
        <w:tc>
          <w:tcPr>
            <w:tcW w:w="3116" w:type="dxa"/>
          </w:tcPr>
          <w:p w14:paraId="1C4C76E4" w14:textId="71FBC339"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Health Insurance Portability and Accountability Act (HIPAA)</w:t>
            </w:r>
          </w:p>
        </w:tc>
        <w:tc>
          <w:tcPr>
            <w:tcW w:w="3117" w:type="dxa"/>
          </w:tcPr>
          <w:p w14:paraId="3C79DC39" w14:textId="27EC8324"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Protects sensitive patient information in the healthcare sector.</w:t>
            </w:r>
          </w:p>
        </w:tc>
        <w:tc>
          <w:tcPr>
            <w:tcW w:w="3117" w:type="dxa"/>
          </w:tcPr>
          <w:p w14:paraId="2A0256EB" w14:textId="626E3A26"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Establishes standards for data privacy and security.</w:t>
            </w:r>
          </w:p>
        </w:tc>
      </w:tr>
      <w:tr w:rsidR="00C40D34" w14:paraId="49C66D89" w14:textId="77777777" w:rsidTr="00C40D34">
        <w:tc>
          <w:tcPr>
            <w:tcW w:w="3116" w:type="dxa"/>
          </w:tcPr>
          <w:p w14:paraId="78F24F80" w14:textId="133A22E6"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Gramm-Leach-Bliley Act (GLBA)</w:t>
            </w:r>
          </w:p>
        </w:tc>
        <w:tc>
          <w:tcPr>
            <w:tcW w:w="3117" w:type="dxa"/>
          </w:tcPr>
          <w:p w14:paraId="02E0CF93" w14:textId="403C6B3D"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Regulates the collection and disclosure of personal financial information.</w:t>
            </w:r>
          </w:p>
        </w:tc>
        <w:tc>
          <w:tcPr>
            <w:tcW w:w="3117" w:type="dxa"/>
          </w:tcPr>
          <w:p w14:paraId="0587E770" w14:textId="075C935A"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Requires financial institutions to protect consumer data.</w:t>
            </w:r>
          </w:p>
        </w:tc>
      </w:tr>
      <w:tr w:rsidR="00C40D34" w14:paraId="47382CDE" w14:textId="77777777" w:rsidTr="00C40D34">
        <w:tc>
          <w:tcPr>
            <w:tcW w:w="3116" w:type="dxa"/>
          </w:tcPr>
          <w:p w14:paraId="5C64F3EE" w14:textId="2B078FAE"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General Data Protection Regulation (GDPR)</w:t>
            </w:r>
          </w:p>
        </w:tc>
        <w:tc>
          <w:tcPr>
            <w:tcW w:w="3117" w:type="dxa"/>
          </w:tcPr>
          <w:p w14:paraId="27EED3D8" w14:textId="5899B315"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EU regulation on data protection and privacy.</w:t>
            </w:r>
          </w:p>
        </w:tc>
        <w:tc>
          <w:tcPr>
            <w:tcW w:w="3117" w:type="dxa"/>
          </w:tcPr>
          <w:p w14:paraId="1041CBE8" w14:textId="090DC033"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Mandates data protection measures and consumer rights.</w:t>
            </w:r>
          </w:p>
        </w:tc>
      </w:tr>
      <w:tr w:rsidR="00C40D34" w14:paraId="6192045F" w14:textId="77777777" w:rsidTr="00C40D34">
        <w:tc>
          <w:tcPr>
            <w:tcW w:w="3116" w:type="dxa"/>
          </w:tcPr>
          <w:p w14:paraId="511E1338" w14:textId="626FD251"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Federal Information Security Management Act (FISMA)</w:t>
            </w:r>
          </w:p>
        </w:tc>
        <w:tc>
          <w:tcPr>
            <w:tcW w:w="3117" w:type="dxa"/>
          </w:tcPr>
          <w:p w14:paraId="09D42BA1" w14:textId="1F4C8092"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Requires federal agencies to secure information systems.</w:t>
            </w:r>
          </w:p>
        </w:tc>
        <w:tc>
          <w:tcPr>
            <w:tcW w:w="3117" w:type="dxa"/>
          </w:tcPr>
          <w:p w14:paraId="2B9A82A0" w14:textId="6528809F"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Establishes a framework for ensuring information security.</w:t>
            </w:r>
          </w:p>
        </w:tc>
      </w:tr>
    </w:tbl>
    <w:p w14:paraId="56379997" w14:textId="77777777" w:rsidR="00230ED8" w:rsidRPr="00230ED8" w:rsidRDefault="00230ED8" w:rsidP="00230ED8">
      <w:pPr>
        <w:rPr>
          <w:rFonts w:ascii="Times New Roman" w:hAnsi="Times New Roman" w:cs="Times New Roman"/>
          <w:sz w:val="24"/>
          <w:szCs w:val="24"/>
        </w:rPr>
      </w:pPr>
    </w:p>
    <w:p w14:paraId="34C35AAE"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t>Examine the U.S. federal laws and legal issues associated with cyber threats, especially cyber types such as fraud and financial cybercrimes.</w:t>
      </w:r>
    </w:p>
    <w:p w14:paraId="019667EE"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U.S. federal laws addressing cyber threats include:</w:t>
      </w:r>
    </w:p>
    <w:p w14:paraId="021DC917"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Computer Fraud and Abuse Act (CFAA): Targets unauthorized access to computers and data, punishing various forms of cyber fraud.</w:t>
      </w:r>
    </w:p>
    <w:p w14:paraId="4BB8309A"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Electronic Communications Privacy Act (ECPA): Protects wire, oral, and electronic communications while in transit and storage.</w:t>
      </w:r>
    </w:p>
    <w:p w14:paraId="742D6097"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Identity Theft and Assumption Deterrence Act: Criminalizes identity theft and provides penalties for those who misuse personal identity information.</w:t>
      </w:r>
    </w:p>
    <w:p w14:paraId="0BDF6DE1"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Cybersecurity Information Sharing Act (CISA): Encourages sharing of cybersecurity threat information between private and public sectors to enhance defense against cyber threats.</w:t>
      </w:r>
    </w:p>
    <w:p w14:paraId="21DF5906" w14:textId="77777777" w:rsidR="00230ED8" w:rsidRPr="00230ED8" w:rsidRDefault="00230ED8" w:rsidP="00230ED8">
      <w:pPr>
        <w:rPr>
          <w:rFonts w:ascii="Times New Roman" w:hAnsi="Times New Roman" w:cs="Times New Roman"/>
          <w:sz w:val="24"/>
          <w:szCs w:val="24"/>
        </w:rPr>
      </w:pPr>
    </w:p>
    <w:p w14:paraId="457A9024"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t>Using the organization you selected in Topic 1, discuss the legal rights of the organization to perform forensic investigations on personal mobile devices that are part of your BYOD policy.</w:t>
      </w:r>
    </w:p>
    <w:p w14:paraId="5C6D8032" w14:textId="147134CB"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 xml:space="preserve">In the context of an organization implementing a Bring Your Own Device (BYOD) policy, legal rights to perform forensic investigations on personal mobile devices can be complex. Generally, organizations have the right to conduct forensic investigations on devices that connect to their networks or store corporate data. This is contingent upon the existence of a clear, communicated policy that informs employees about the extent of monitoring and the organization's rights </w:t>
      </w:r>
      <w:r w:rsidRPr="00230ED8">
        <w:rPr>
          <w:rFonts w:ascii="Times New Roman" w:hAnsi="Times New Roman" w:cs="Times New Roman"/>
          <w:sz w:val="24"/>
          <w:szCs w:val="24"/>
        </w:rPr>
        <w:lastRenderedPageBreak/>
        <w:t>regarding data access. For instance, if an organization clearly states in its BYOD policy that it reserves the right to access and investigate any data on personal devices used for work purposes, it can legally perform forensic examinations when necessary. However, organizations must balance this with privacy concerns and ensure compliance with applicable laws, such as the Electronic Communications Privacy Act (ECPA), which protects personal communications. Additionally, obtaining consent from employees helps mitigate legal issues and reinforces transparency in the organization's practices (Smith &amp; Jones, 2021).</w:t>
      </w:r>
    </w:p>
    <w:p w14:paraId="5909749C" w14:textId="3D4E0BCA" w:rsidR="00230ED8" w:rsidRDefault="00B8123D" w:rsidP="00230ED8">
      <w:pPr>
        <w:rPr>
          <w:rFonts w:ascii="Times New Roman" w:hAnsi="Times New Roman" w:cs="Times New Roman"/>
          <w:sz w:val="24"/>
          <w:szCs w:val="24"/>
        </w:rPr>
      </w:pPr>
      <w:r>
        <w:rPr>
          <w:rFonts w:ascii="Times New Roman" w:hAnsi="Times New Roman" w:cs="Times New Roman"/>
          <w:sz w:val="24"/>
          <w:szCs w:val="24"/>
        </w:rPr>
        <w:t>Part 2:</w:t>
      </w:r>
    </w:p>
    <w:p w14:paraId="284F9E13"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In many situations, multiple levels of government must work in partnership when ensuring security compliance. As a cybersecurity professional, research the following:</w:t>
      </w:r>
    </w:p>
    <w:p w14:paraId="117018BF" w14:textId="77777777" w:rsidR="00B8123D" w:rsidRDefault="00B8123D" w:rsidP="00B8123D">
      <w:pPr>
        <w:rPr>
          <w:rFonts w:ascii="Times New Roman" w:hAnsi="Times New Roman" w:cs="Times New Roman"/>
          <w:b/>
          <w:bCs/>
          <w:sz w:val="24"/>
          <w:szCs w:val="24"/>
        </w:rPr>
      </w:pPr>
      <w:r w:rsidRPr="00B8123D">
        <w:rPr>
          <w:rFonts w:ascii="Times New Roman" w:hAnsi="Times New Roman" w:cs="Times New Roman"/>
          <w:b/>
          <w:bCs/>
          <w:sz w:val="24"/>
          <w:szCs w:val="24"/>
        </w:rPr>
        <w:t>Describe the federal, state, and local cyber defense partners/structures.</w:t>
      </w:r>
    </w:p>
    <w:p w14:paraId="57BEB4AE"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b/>
          <w:bCs/>
          <w:sz w:val="24"/>
          <w:szCs w:val="24"/>
        </w:rPr>
        <w:t>Federal Level:</w:t>
      </w:r>
    </w:p>
    <w:p w14:paraId="4A26535F" w14:textId="77777777" w:rsidR="00B8123D" w:rsidRPr="00B8123D" w:rsidRDefault="00B8123D" w:rsidP="00B8123D">
      <w:pPr>
        <w:numPr>
          <w:ilvl w:val="0"/>
          <w:numId w:val="7"/>
        </w:numPr>
        <w:rPr>
          <w:rFonts w:ascii="Times New Roman" w:hAnsi="Times New Roman" w:cs="Times New Roman"/>
          <w:sz w:val="24"/>
          <w:szCs w:val="24"/>
        </w:rPr>
      </w:pPr>
      <w:r w:rsidRPr="00B8123D">
        <w:rPr>
          <w:rFonts w:ascii="Times New Roman" w:hAnsi="Times New Roman" w:cs="Times New Roman"/>
          <w:sz w:val="24"/>
          <w:szCs w:val="24"/>
        </w:rPr>
        <w:t>Cybersecurity and Infrastructure Security Agency (CISA): CISA is the primary federal agency responsible for coordinating national cybersecurity efforts. It collaborates with various federal agencies, state governments, and private sectors to manage cyber risks and enhance resilience.</w:t>
      </w:r>
    </w:p>
    <w:p w14:paraId="3B594D63" w14:textId="77777777" w:rsidR="00B8123D" w:rsidRPr="00B8123D" w:rsidRDefault="00B8123D" w:rsidP="00B8123D">
      <w:pPr>
        <w:numPr>
          <w:ilvl w:val="0"/>
          <w:numId w:val="7"/>
        </w:numPr>
        <w:rPr>
          <w:rFonts w:ascii="Times New Roman" w:hAnsi="Times New Roman" w:cs="Times New Roman"/>
          <w:sz w:val="24"/>
          <w:szCs w:val="24"/>
        </w:rPr>
      </w:pPr>
      <w:r w:rsidRPr="00B8123D">
        <w:rPr>
          <w:rFonts w:ascii="Times New Roman" w:hAnsi="Times New Roman" w:cs="Times New Roman"/>
          <w:sz w:val="24"/>
          <w:szCs w:val="24"/>
        </w:rPr>
        <w:t>Department of Homeland Security (DHS): DHS plays a crucial role in overseeing national cybersecurity initiatives and works closely with CISA and other federal entities to strengthen the nation’s cyber defenses.</w:t>
      </w:r>
    </w:p>
    <w:p w14:paraId="6BFA9BB0"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b/>
          <w:bCs/>
          <w:sz w:val="24"/>
          <w:szCs w:val="24"/>
        </w:rPr>
        <w:t>State Level:</w:t>
      </w:r>
    </w:p>
    <w:p w14:paraId="0833AF25" w14:textId="77777777" w:rsidR="00B8123D" w:rsidRPr="00B8123D" w:rsidRDefault="00B8123D" w:rsidP="00B8123D">
      <w:pPr>
        <w:numPr>
          <w:ilvl w:val="0"/>
          <w:numId w:val="8"/>
        </w:numPr>
        <w:rPr>
          <w:rFonts w:ascii="Times New Roman" w:hAnsi="Times New Roman" w:cs="Times New Roman"/>
          <w:sz w:val="24"/>
          <w:szCs w:val="24"/>
        </w:rPr>
      </w:pPr>
      <w:r w:rsidRPr="00B8123D">
        <w:rPr>
          <w:rFonts w:ascii="Times New Roman" w:hAnsi="Times New Roman" w:cs="Times New Roman"/>
          <w:sz w:val="24"/>
          <w:szCs w:val="24"/>
        </w:rPr>
        <w:t>State Cybersecurity Offices: Many states have established dedicated cybersecurity offices that focus on protecting state infrastructure and data. These offices work in partnership with CISA and local governments to implement tailored cybersecurity strategies.</w:t>
      </w:r>
    </w:p>
    <w:p w14:paraId="41D2C9D3" w14:textId="77777777" w:rsidR="00B8123D" w:rsidRPr="00B8123D" w:rsidRDefault="00B8123D" w:rsidP="00B8123D">
      <w:pPr>
        <w:numPr>
          <w:ilvl w:val="0"/>
          <w:numId w:val="8"/>
        </w:numPr>
        <w:rPr>
          <w:rFonts w:ascii="Times New Roman" w:hAnsi="Times New Roman" w:cs="Times New Roman"/>
          <w:sz w:val="24"/>
          <w:szCs w:val="24"/>
        </w:rPr>
      </w:pPr>
      <w:r w:rsidRPr="00B8123D">
        <w:rPr>
          <w:rFonts w:ascii="Times New Roman" w:hAnsi="Times New Roman" w:cs="Times New Roman"/>
          <w:sz w:val="24"/>
          <w:szCs w:val="24"/>
        </w:rPr>
        <w:t>Statewide Information Security Programs: These programs ensure that state agencies comply with federal standards and best practices, often providing resources and guidance for local entities.</w:t>
      </w:r>
    </w:p>
    <w:p w14:paraId="4E958402"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b/>
          <w:bCs/>
          <w:sz w:val="24"/>
          <w:szCs w:val="24"/>
        </w:rPr>
        <w:t>Local Level:</w:t>
      </w:r>
    </w:p>
    <w:p w14:paraId="58F63131" w14:textId="77777777" w:rsidR="00B8123D" w:rsidRPr="00B8123D" w:rsidRDefault="00B8123D" w:rsidP="00B8123D">
      <w:pPr>
        <w:numPr>
          <w:ilvl w:val="0"/>
          <w:numId w:val="9"/>
        </w:numPr>
        <w:rPr>
          <w:rFonts w:ascii="Times New Roman" w:hAnsi="Times New Roman" w:cs="Times New Roman"/>
          <w:sz w:val="24"/>
          <w:szCs w:val="24"/>
        </w:rPr>
      </w:pPr>
      <w:r w:rsidRPr="00B8123D">
        <w:rPr>
          <w:rFonts w:ascii="Times New Roman" w:hAnsi="Times New Roman" w:cs="Times New Roman"/>
          <w:sz w:val="24"/>
          <w:szCs w:val="24"/>
        </w:rPr>
        <w:t>Local Government Cybersecurity Teams: Local governments often have their own cybersecurity teams that protect municipal systems and data. They collaborate with state and federal partners for resources and best practices.</w:t>
      </w:r>
    </w:p>
    <w:p w14:paraId="77CA174A" w14:textId="77777777" w:rsidR="00B8123D" w:rsidRPr="00B8123D" w:rsidRDefault="00B8123D" w:rsidP="00B8123D">
      <w:pPr>
        <w:numPr>
          <w:ilvl w:val="0"/>
          <w:numId w:val="9"/>
        </w:numPr>
        <w:rPr>
          <w:rFonts w:ascii="Times New Roman" w:hAnsi="Times New Roman" w:cs="Times New Roman"/>
          <w:sz w:val="24"/>
          <w:szCs w:val="24"/>
        </w:rPr>
      </w:pPr>
      <w:r w:rsidRPr="00B8123D">
        <w:rPr>
          <w:rFonts w:ascii="Times New Roman" w:hAnsi="Times New Roman" w:cs="Times New Roman"/>
          <w:sz w:val="24"/>
          <w:szCs w:val="24"/>
        </w:rPr>
        <w:t>Community Engagement: Local governments may engage with community organizations and businesses to promote cybersecurity awareness and best practices, fostering a culture of security at the grassroots level.</w:t>
      </w:r>
    </w:p>
    <w:p w14:paraId="514E55B2" w14:textId="77777777" w:rsidR="00B8123D" w:rsidRPr="00B8123D" w:rsidRDefault="00B8123D" w:rsidP="00B8123D">
      <w:pPr>
        <w:rPr>
          <w:rFonts w:ascii="Times New Roman" w:hAnsi="Times New Roman" w:cs="Times New Roman"/>
          <w:sz w:val="24"/>
          <w:szCs w:val="24"/>
        </w:rPr>
      </w:pPr>
    </w:p>
    <w:p w14:paraId="147202B3" w14:textId="77777777" w:rsidR="00B8123D" w:rsidRDefault="00B8123D" w:rsidP="00B8123D">
      <w:pPr>
        <w:rPr>
          <w:rFonts w:ascii="Times New Roman" w:hAnsi="Times New Roman" w:cs="Times New Roman"/>
          <w:b/>
          <w:bCs/>
          <w:sz w:val="24"/>
          <w:szCs w:val="24"/>
        </w:rPr>
      </w:pPr>
      <w:r w:rsidRPr="00B8123D">
        <w:rPr>
          <w:rFonts w:ascii="Times New Roman" w:hAnsi="Times New Roman" w:cs="Times New Roman"/>
          <w:b/>
          <w:bCs/>
          <w:sz w:val="24"/>
          <w:szCs w:val="24"/>
        </w:rPr>
        <w:t xml:space="preserve">Examine the laws, regulations, and standards that organizations use to align with government requirements </w:t>
      </w:r>
      <w:proofErr w:type="gramStart"/>
      <w:r w:rsidRPr="00B8123D">
        <w:rPr>
          <w:rFonts w:ascii="Times New Roman" w:hAnsi="Times New Roman" w:cs="Times New Roman"/>
          <w:b/>
          <w:bCs/>
          <w:sz w:val="24"/>
          <w:szCs w:val="24"/>
        </w:rPr>
        <w:t>around</w:t>
      </w:r>
      <w:proofErr w:type="gramEnd"/>
      <w:r w:rsidRPr="00B8123D">
        <w:rPr>
          <w:rFonts w:ascii="Times New Roman" w:hAnsi="Times New Roman" w:cs="Times New Roman"/>
          <w:b/>
          <w:bCs/>
          <w:sz w:val="24"/>
          <w:szCs w:val="24"/>
        </w:rPr>
        <w:t xml:space="preserve"> cybersecurity best practices within their industry.</w:t>
      </w:r>
    </w:p>
    <w:p w14:paraId="6B0982CD"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lastRenderedPageBreak/>
        <w:t>Organizations must adhere to various laws and regulations to align with government requirements. Here are some key frameworks:</w:t>
      </w:r>
    </w:p>
    <w:p w14:paraId="66EBD29B"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NIST Cybersecurity Framework: A voluntary framework that provides guidelines for managing cybersecurity risks, helping organizations to improve their security posture.</w:t>
      </w:r>
    </w:p>
    <w:p w14:paraId="7FFB5FF1"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Federal Information Security Management Act (FISMA): Requires federal agencies to secure their information systems and report on their security status, ensuring accountability and transparency.</w:t>
      </w:r>
    </w:p>
    <w:p w14:paraId="699CA65F"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Health Insurance Portability and Accountability Act (HIPAA): Sets standards for protecting sensitive patient information in the healthcare sector, ensuring confidentiality and security of medical records.</w:t>
      </w:r>
    </w:p>
    <w:p w14:paraId="39A7743C"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Gramm-Leach-Bliley Act (GLBA): Requires financial institutions to explain their information-sharing practices to customers and safeguard sensitive data.</w:t>
      </w:r>
    </w:p>
    <w:p w14:paraId="6EA41A62" w14:textId="77777777" w:rsidR="00B8123D" w:rsidRPr="00B8123D" w:rsidRDefault="00B8123D" w:rsidP="00B8123D">
      <w:pPr>
        <w:rPr>
          <w:rFonts w:ascii="Times New Roman" w:hAnsi="Times New Roman" w:cs="Times New Roman"/>
          <w:sz w:val="24"/>
          <w:szCs w:val="24"/>
        </w:rPr>
      </w:pPr>
    </w:p>
    <w:p w14:paraId="74DE400D" w14:textId="77777777" w:rsidR="00B8123D" w:rsidRDefault="00B8123D" w:rsidP="00B8123D">
      <w:pPr>
        <w:rPr>
          <w:rFonts w:ascii="Times New Roman" w:hAnsi="Times New Roman" w:cs="Times New Roman"/>
          <w:b/>
          <w:bCs/>
          <w:sz w:val="24"/>
          <w:szCs w:val="24"/>
        </w:rPr>
      </w:pPr>
      <w:r w:rsidRPr="00B8123D">
        <w:rPr>
          <w:rFonts w:ascii="Times New Roman" w:hAnsi="Times New Roman" w:cs="Times New Roman"/>
          <w:b/>
          <w:bCs/>
          <w:sz w:val="24"/>
          <w:szCs w:val="24"/>
        </w:rPr>
        <w:t>Explain federal laws and authorities, including the Computer Security Act, Sarbanes – Oxley, Gramm – Leach – Bliley, Privacy (COPPA) HIPAA / FERPA, USA Patriot Act, Americans with Disabilities Act, Section 508, and other Federal laws and regulations.</w:t>
      </w:r>
    </w:p>
    <w:p w14:paraId="33208655"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Computer Security Act of 1987: This act directs the National Bureau of Standards to establish a computer standards program for federal systems, enhancing the security and privacy of sensitive information.</w:t>
      </w:r>
    </w:p>
    <w:p w14:paraId="01CE48EB"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Sarbanes-Oxley Act (SOX) of 2002: Aimed at protecting investors from fraudulent financial reporting, SOX mandates strict reforms to enhance corporate governance and financial disclosures.</w:t>
      </w:r>
    </w:p>
    <w:p w14:paraId="61D01146"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Gramm-Leach-Bliley Act (GLBA): Enacted to protect consumers' personal financial information held by financial institutions, requiring them to implement privacy policies.</w:t>
      </w:r>
    </w:p>
    <w:p w14:paraId="0633833A"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Children’s Online Privacy Protection Act (COPPA): This law imposes requirements on websites and online services directed at children under 13, ensuring parental consent for data collection.</w:t>
      </w:r>
    </w:p>
    <w:p w14:paraId="013DF58E"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Health Insurance Portability and Accountability Act (HIPAA): Establishes national standards for the protection of health information, ensuring confidentiality and security of medical records.</w:t>
      </w:r>
    </w:p>
    <w:p w14:paraId="410205E1"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Family Educational Rights and Privacy Act (FERPA): Protects the privacy of student education records and gives parents certain rights regarding their children’s records.</w:t>
      </w:r>
    </w:p>
    <w:p w14:paraId="05A8528C"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USA PATRIOT Act: Enacted to deter and punish terrorist acts, this act enhances law enforcement investigatory tools and information sharing.</w:t>
      </w:r>
    </w:p>
    <w:p w14:paraId="25738094"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Americans with Disabilities Act (ADA): While primarily focused on preventing discrimination against individuals with disabilities, it also has implications for digital accessibility in cybersecurity practices.</w:t>
      </w:r>
    </w:p>
    <w:p w14:paraId="5B187EB0"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lastRenderedPageBreak/>
        <w:t>Section 508: Requires federal agencies to make their electronic and information technology accessible to people with disabilities, impacting how cybersecurity measures are implemented.</w:t>
      </w:r>
    </w:p>
    <w:p w14:paraId="7ADD1D69" w14:textId="77777777" w:rsidR="00B8123D" w:rsidRPr="00B8123D" w:rsidRDefault="00B8123D" w:rsidP="00B8123D">
      <w:pPr>
        <w:rPr>
          <w:rFonts w:ascii="Times New Roman" w:hAnsi="Times New Roman" w:cs="Times New Roman"/>
          <w:sz w:val="24"/>
          <w:szCs w:val="24"/>
        </w:rPr>
      </w:pPr>
    </w:p>
    <w:p w14:paraId="565D5B44" w14:textId="385755A2" w:rsidR="00B8123D" w:rsidRDefault="00B8123D" w:rsidP="00230ED8">
      <w:pPr>
        <w:rPr>
          <w:rFonts w:ascii="Times New Roman" w:hAnsi="Times New Roman" w:cs="Times New Roman"/>
          <w:sz w:val="24"/>
          <w:szCs w:val="24"/>
        </w:rPr>
      </w:pPr>
      <w:r>
        <w:rPr>
          <w:rFonts w:ascii="Times New Roman" w:hAnsi="Times New Roman" w:cs="Times New Roman"/>
          <w:sz w:val="24"/>
          <w:szCs w:val="24"/>
        </w:rPr>
        <w:t>Part 3:</w:t>
      </w:r>
    </w:p>
    <w:p w14:paraId="3A1F0DEE" w14:textId="7777777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For each scenario, identify the applicable law(s) it would fall under and describe how the type of legal dispute (civil, criminal, or private) affects the evidence used to resolve it. </w:t>
      </w:r>
      <w:r w:rsidRPr="000E65FA">
        <w:rPr>
          <w:rFonts w:ascii="Times New Roman" w:hAnsi="Times New Roman" w:cs="Times New Roman"/>
          <w:b/>
          <w:bCs/>
          <w:sz w:val="24"/>
          <w:szCs w:val="24"/>
        </w:rPr>
        <w:t>Note:</w:t>
      </w:r>
      <w:r w:rsidRPr="000E65FA">
        <w:rPr>
          <w:rFonts w:ascii="Times New Roman" w:hAnsi="Times New Roman" w:cs="Times New Roman"/>
          <w:sz w:val="24"/>
          <w:szCs w:val="24"/>
        </w:rPr>
        <w:t xml:space="preserve"> This information can be presented </w:t>
      </w:r>
      <w:proofErr w:type="gramStart"/>
      <w:r w:rsidRPr="000E65FA">
        <w:rPr>
          <w:rFonts w:ascii="Times New Roman" w:hAnsi="Times New Roman" w:cs="Times New Roman"/>
          <w:sz w:val="24"/>
          <w:szCs w:val="24"/>
        </w:rPr>
        <w:t>in</w:t>
      </w:r>
      <w:proofErr w:type="gramEnd"/>
      <w:r w:rsidRPr="000E65FA">
        <w:rPr>
          <w:rFonts w:ascii="Times New Roman" w:hAnsi="Times New Roman" w:cs="Times New Roman"/>
          <w:sz w:val="24"/>
          <w:szCs w:val="24"/>
        </w:rPr>
        <w:t xml:space="preserve"> a table.</w:t>
      </w:r>
    </w:p>
    <w:p w14:paraId="546624F3" w14:textId="77777777" w:rsidR="000E65FA" w:rsidRPr="000E65FA" w:rsidRDefault="000E65FA" w:rsidP="000E65FA">
      <w:pPr>
        <w:numPr>
          <w:ilvl w:val="0"/>
          <w:numId w:val="12"/>
        </w:numPr>
        <w:rPr>
          <w:rFonts w:ascii="Times New Roman" w:hAnsi="Times New Roman" w:cs="Times New Roman"/>
          <w:sz w:val="24"/>
          <w:szCs w:val="24"/>
        </w:rPr>
      </w:pPr>
      <w:r w:rsidRPr="000E65FA">
        <w:rPr>
          <w:rFonts w:ascii="Times New Roman" w:hAnsi="Times New Roman" w:cs="Times New Roman"/>
          <w:sz w:val="24"/>
          <w:szCs w:val="24"/>
        </w:rPr>
        <w:t>Transmission of underage photographs to various email addresses in California, Arizona, and Colorado</w:t>
      </w:r>
    </w:p>
    <w:p w14:paraId="6DA44EAC" w14:textId="77777777" w:rsidR="000E65FA" w:rsidRPr="000E65FA" w:rsidRDefault="000E65FA" w:rsidP="000E65FA">
      <w:pPr>
        <w:numPr>
          <w:ilvl w:val="0"/>
          <w:numId w:val="12"/>
        </w:numPr>
        <w:rPr>
          <w:rFonts w:ascii="Times New Roman" w:hAnsi="Times New Roman" w:cs="Times New Roman"/>
          <w:sz w:val="24"/>
          <w:szCs w:val="24"/>
        </w:rPr>
      </w:pPr>
      <w:r w:rsidRPr="000E65FA">
        <w:rPr>
          <w:rFonts w:ascii="Times New Roman" w:hAnsi="Times New Roman" w:cs="Times New Roman"/>
          <w:sz w:val="24"/>
          <w:szCs w:val="24"/>
        </w:rPr>
        <w:t>Colonial Pipeline Hack</w:t>
      </w:r>
    </w:p>
    <w:p w14:paraId="536B18DD" w14:textId="77777777" w:rsidR="000E65FA" w:rsidRPr="000E65FA" w:rsidRDefault="000E65FA" w:rsidP="000E65FA">
      <w:pPr>
        <w:numPr>
          <w:ilvl w:val="0"/>
          <w:numId w:val="12"/>
        </w:numPr>
        <w:rPr>
          <w:rFonts w:ascii="Times New Roman" w:hAnsi="Times New Roman" w:cs="Times New Roman"/>
          <w:sz w:val="24"/>
          <w:szCs w:val="24"/>
        </w:rPr>
      </w:pPr>
      <w:r w:rsidRPr="000E65FA">
        <w:rPr>
          <w:rFonts w:ascii="Times New Roman" w:hAnsi="Times New Roman" w:cs="Times New Roman"/>
          <w:sz w:val="24"/>
          <w:szCs w:val="24"/>
        </w:rPr>
        <w:t>Victim's identity used to open a new account</w:t>
      </w:r>
    </w:p>
    <w:p w14:paraId="4EA5C434" w14:textId="77777777" w:rsidR="000E65FA" w:rsidRPr="000E65FA" w:rsidRDefault="000E65FA" w:rsidP="000E65FA">
      <w:pPr>
        <w:numPr>
          <w:ilvl w:val="0"/>
          <w:numId w:val="12"/>
        </w:numPr>
        <w:rPr>
          <w:rFonts w:ascii="Times New Roman" w:hAnsi="Times New Roman" w:cs="Times New Roman"/>
          <w:sz w:val="24"/>
          <w:szCs w:val="24"/>
        </w:rPr>
      </w:pPr>
      <w:r w:rsidRPr="000E65FA">
        <w:rPr>
          <w:rFonts w:ascii="Times New Roman" w:hAnsi="Times New Roman" w:cs="Times New Roman"/>
          <w:sz w:val="24"/>
          <w:szCs w:val="24"/>
        </w:rPr>
        <w:t>Bank fraud/scam</w:t>
      </w:r>
    </w:p>
    <w:p w14:paraId="4864EAA3" w14:textId="77777777" w:rsidR="000E65FA" w:rsidRPr="000E65FA" w:rsidRDefault="000E65FA" w:rsidP="000E65FA">
      <w:pPr>
        <w:numPr>
          <w:ilvl w:val="0"/>
          <w:numId w:val="12"/>
        </w:numPr>
        <w:rPr>
          <w:rFonts w:ascii="Times New Roman" w:hAnsi="Times New Roman" w:cs="Times New Roman"/>
          <w:sz w:val="24"/>
          <w:szCs w:val="24"/>
        </w:rPr>
      </w:pPr>
      <w:r w:rsidRPr="000E65FA">
        <w:rPr>
          <w:rFonts w:ascii="Times New Roman" w:hAnsi="Times New Roman" w:cs="Times New Roman"/>
          <w:sz w:val="24"/>
          <w:szCs w:val="24"/>
        </w:rPr>
        <w:t>A firm's credit card records are stolen</w:t>
      </w:r>
    </w:p>
    <w:tbl>
      <w:tblPr>
        <w:tblStyle w:val="TableGrid"/>
        <w:tblW w:w="0" w:type="auto"/>
        <w:tblLook w:val="04A0" w:firstRow="1" w:lastRow="0" w:firstColumn="1" w:lastColumn="0" w:noHBand="0" w:noVBand="1"/>
      </w:tblPr>
      <w:tblGrid>
        <w:gridCol w:w="2337"/>
        <w:gridCol w:w="2337"/>
        <w:gridCol w:w="2338"/>
        <w:gridCol w:w="2338"/>
      </w:tblGrid>
      <w:tr w:rsidR="000E65FA" w14:paraId="27DAD969" w14:textId="77777777" w:rsidTr="000E65FA">
        <w:tc>
          <w:tcPr>
            <w:tcW w:w="2337" w:type="dxa"/>
          </w:tcPr>
          <w:p w14:paraId="480DB1C2" w14:textId="7696B156" w:rsidR="000E65FA" w:rsidRDefault="000E65FA" w:rsidP="000E65FA">
            <w:pPr>
              <w:jc w:val="center"/>
              <w:rPr>
                <w:rFonts w:ascii="Times New Roman" w:hAnsi="Times New Roman" w:cs="Times New Roman"/>
                <w:sz w:val="24"/>
                <w:szCs w:val="24"/>
              </w:rPr>
            </w:pPr>
            <w:r>
              <w:rPr>
                <w:rFonts w:ascii="Times New Roman" w:hAnsi="Times New Roman" w:cs="Times New Roman"/>
                <w:sz w:val="24"/>
                <w:szCs w:val="24"/>
              </w:rPr>
              <w:t>Scenario</w:t>
            </w:r>
          </w:p>
        </w:tc>
        <w:tc>
          <w:tcPr>
            <w:tcW w:w="2337" w:type="dxa"/>
          </w:tcPr>
          <w:p w14:paraId="50694DB2" w14:textId="600F8692" w:rsidR="000E65FA" w:rsidRDefault="000E65FA" w:rsidP="000E65FA">
            <w:pPr>
              <w:jc w:val="center"/>
              <w:rPr>
                <w:rFonts w:ascii="Times New Roman" w:hAnsi="Times New Roman" w:cs="Times New Roman"/>
                <w:sz w:val="24"/>
                <w:szCs w:val="24"/>
              </w:rPr>
            </w:pPr>
            <w:r>
              <w:rPr>
                <w:rFonts w:ascii="Times New Roman" w:hAnsi="Times New Roman" w:cs="Times New Roman"/>
                <w:sz w:val="24"/>
                <w:szCs w:val="24"/>
              </w:rPr>
              <w:t>Applicable Law(s)</w:t>
            </w:r>
          </w:p>
        </w:tc>
        <w:tc>
          <w:tcPr>
            <w:tcW w:w="2338" w:type="dxa"/>
          </w:tcPr>
          <w:p w14:paraId="72D686EB" w14:textId="1C253D8A" w:rsidR="000E65FA" w:rsidRDefault="000E65FA" w:rsidP="000E65FA">
            <w:pPr>
              <w:jc w:val="center"/>
              <w:rPr>
                <w:rFonts w:ascii="Times New Roman" w:hAnsi="Times New Roman" w:cs="Times New Roman"/>
                <w:sz w:val="24"/>
                <w:szCs w:val="24"/>
              </w:rPr>
            </w:pPr>
            <w:r>
              <w:rPr>
                <w:rFonts w:ascii="Times New Roman" w:hAnsi="Times New Roman" w:cs="Times New Roman"/>
                <w:sz w:val="24"/>
                <w:szCs w:val="24"/>
              </w:rPr>
              <w:t>Type of Legal Dispute</w:t>
            </w:r>
          </w:p>
        </w:tc>
        <w:tc>
          <w:tcPr>
            <w:tcW w:w="2338" w:type="dxa"/>
          </w:tcPr>
          <w:p w14:paraId="2B02DCBC" w14:textId="345E5730" w:rsidR="000E65FA" w:rsidRDefault="000E65FA" w:rsidP="000E65FA">
            <w:pPr>
              <w:jc w:val="center"/>
              <w:rPr>
                <w:rFonts w:ascii="Times New Roman" w:hAnsi="Times New Roman" w:cs="Times New Roman"/>
                <w:sz w:val="24"/>
                <w:szCs w:val="24"/>
              </w:rPr>
            </w:pPr>
            <w:r>
              <w:rPr>
                <w:rFonts w:ascii="Times New Roman" w:hAnsi="Times New Roman" w:cs="Times New Roman"/>
                <w:sz w:val="24"/>
                <w:szCs w:val="24"/>
              </w:rPr>
              <w:t>Effect on Evidence</w:t>
            </w:r>
          </w:p>
        </w:tc>
      </w:tr>
      <w:tr w:rsidR="000E65FA" w14:paraId="2FDD5406" w14:textId="77777777" w:rsidTr="000E65FA">
        <w:tc>
          <w:tcPr>
            <w:tcW w:w="2337" w:type="dxa"/>
          </w:tcPr>
          <w:p w14:paraId="11D36511" w14:textId="4346D97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Transmission of Underage Photographs</w:t>
            </w:r>
          </w:p>
        </w:tc>
        <w:tc>
          <w:tcPr>
            <w:tcW w:w="2337" w:type="dxa"/>
          </w:tcPr>
          <w:p w14:paraId="75D9016F" w14:textId="559D296D"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California Penal Code § 311.2 (Child Pornography)</w:t>
            </w:r>
          </w:p>
        </w:tc>
        <w:tc>
          <w:tcPr>
            <w:tcW w:w="2338" w:type="dxa"/>
          </w:tcPr>
          <w:p w14:paraId="2118EB5F" w14:textId="6278F5B1"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Criminal</w:t>
            </w:r>
          </w:p>
        </w:tc>
        <w:tc>
          <w:tcPr>
            <w:tcW w:w="2338" w:type="dxa"/>
          </w:tcPr>
          <w:p w14:paraId="540A72A7" w14:textId="1168038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Evidence must meet the standard of "beyond a reasonable doubt." Police may rely on digital forensics, email logs, and witness statements to establish intent and actions.</w:t>
            </w:r>
          </w:p>
        </w:tc>
      </w:tr>
      <w:tr w:rsidR="000E65FA" w14:paraId="41089879" w14:textId="77777777" w:rsidTr="000E65FA">
        <w:tc>
          <w:tcPr>
            <w:tcW w:w="2337" w:type="dxa"/>
          </w:tcPr>
          <w:p w14:paraId="58ED3E79" w14:textId="77777777" w:rsidR="000E65FA" w:rsidRPr="000E65FA" w:rsidRDefault="000E65FA" w:rsidP="000E65FA">
            <w:pPr>
              <w:rPr>
                <w:rFonts w:ascii="Times New Roman" w:hAnsi="Times New Roman" w:cs="Times New Roman"/>
                <w:sz w:val="24"/>
                <w:szCs w:val="24"/>
              </w:rPr>
            </w:pPr>
          </w:p>
        </w:tc>
        <w:tc>
          <w:tcPr>
            <w:tcW w:w="2337" w:type="dxa"/>
          </w:tcPr>
          <w:p w14:paraId="20828F10" w14:textId="2F946135"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Arizona Revised Statutes § 13-3506 (Sexual Exploitation of a Minor)</w:t>
            </w:r>
          </w:p>
        </w:tc>
        <w:tc>
          <w:tcPr>
            <w:tcW w:w="2338" w:type="dxa"/>
          </w:tcPr>
          <w:p w14:paraId="4BB709E4" w14:textId="77777777" w:rsidR="000E65FA" w:rsidRPr="000E65FA" w:rsidRDefault="000E65FA" w:rsidP="000E65FA">
            <w:pPr>
              <w:rPr>
                <w:rFonts w:ascii="Times New Roman" w:hAnsi="Times New Roman" w:cs="Times New Roman"/>
                <w:sz w:val="24"/>
                <w:szCs w:val="24"/>
              </w:rPr>
            </w:pPr>
          </w:p>
        </w:tc>
        <w:tc>
          <w:tcPr>
            <w:tcW w:w="2338" w:type="dxa"/>
          </w:tcPr>
          <w:p w14:paraId="480348B1" w14:textId="77777777" w:rsidR="000E65FA" w:rsidRPr="000E65FA" w:rsidRDefault="000E65FA" w:rsidP="000E65FA">
            <w:pPr>
              <w:rPr>
                <w:rFonts w:ascii="Times New Roman" w:hAnsi="Times New Roman" w:cs="Times New Roman"/>
                <w:sz w:val="24"/>
                <w:szCs w:val="24"/>
              </w:rPr>
            </w:pPr>
          </w:p>
        </w:tc>
      </w:tr>
      <w:tr w:rsidR="000E65FA" w14:paraId="2D3BE03C" w14:textId="77777777" w:rsidTr="000E65FA">
        <w:tc>
          <w:tcPr>
            <w:tcW w:w="2337" w:type="dxa"/>
          </w:tcPr>
          <w:p w14:paraId="01CE4290" w14:textId="77777777" w:rsidR="000E65FA" w:rsidRPr="000E65FA" w:rsidRDefault="000E65FA" w:rsidP="000E65FA">
            <w:pPr>
              <w:rPr>
                <w:rFonts w:ascii="Times New Roman" w:hAnsi="Times New Roman" w:cs="Times New Roman"/>
                <w:sz w:val="24"/>
                <w:szCs w:val="24"/>
              </w:rPr>
            </w:pPr>
          </w:p>
        </w:tc>
        <w:tc>
          <w:tcPr>
            <w:tcW w:w="2337" w:type="dxa"/>
          </w:tcPr>
          <w:p w14:paraId="60DC314D" w14:textId="3D7DE7C1"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Colorado Revised Statutes § 18-6-403 (Sexual Exploitation of Children)</w:t>
            </w:r>
          </w:p>
        </w:tc>
        <w:tc>
          <w:tcPr>
            <w:tcW w:w="2338" w:type="dxa"/>
          </w:tcPr>
          <w:p w14:paraId="7A5C5081" w14:textId="77777777" w:rsidR="000E65FA" w:rsidRPr="000E65FA" w:rsidRDefault="000E65FA" w:rsidP="000E65FA">
            <w:pPr>
              <w:rPr>
                <w:rFonts w:ascii="Times New Roman" w:hAnsi="Times New Roman" w:cs="Times New Roman"/>
                <w:sz w:val="24"/>
                <w:szCs w:val="24"/>
              </w:rPr>
            </w:pPr>
          </w:p>
        </w:tc>
        <w:tc>
          <w:tcPr>
            <w:tcW w:w="2338" w:type="dxa"/>
          </w:tcPr>
          <w:p w14:paraId="42896D88" w14:textId="77777777" w:rsidR="000E65FA" w:rsidRPr="000E65FA" w:rsidRDefault="000E65FA" w:rsidP="000E65FA">
            <w:pPr>
              <w:rPr>
                <w:rFonts w:ascii="Times New Roman" w:hAnsi="Times New Roman" w:cs="Times New Roman"/>
                <w:sz w:val="24"/>
                <w:szCs w:val="24"/>
              </w:rPr>
            </w:pPr>
          </w:p>
        </w:tc>
      </w:tr>
      <w:tr w:rsidR="000E65FA" w14:paraId="1D9FF241" w14:textId="77777777" w:rsidTr="000E65FA">
        <w:tc>
          <w:tcPr>
            <w:tcW w:w="2337" w:type="dxa"/>
          </w:tcPr>
          <w:p w14:paraId="6D1631DD" w14:textId="36C86FE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Colonial Pipeline Hack</w:t>
            </w:r>
          </w:p>
        </w:tc>
        <w:tc>
          <w:tcPr>
            <w:tcW w:w="2337" w:type="dxa"/>
          </w:tcPr>
          <w:p w14:paraId="0783E3D9" w14:textId="1C804DDB"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Computer Fraud and Abuse Act (CFAA)</w:t>
            </w:r>
          </w:p>
        </w:tc>
        <w:tc>
          <w:tcPr>
            <w:tcW w:w="2338" w:type="dxa"/>
          </w:tcPr>
          <w:p w14:paraId="69C8B959" w14:textId="787A21E6"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Criminal</w:t>
            </w:r>
          </w:p>
        </w:tc>
        <w:tc>
          <w:tcPr>
            <w:tcW w:w="2338" w:type="dxa"/>
          </w:tcPr>
          <w:p w14:paraId="547B6A0A" w14:textId="1C06E328"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 xml:space="preserve">Evidence includes digital footprints, IP addresses, and logs. It must show malicious intent. Requires </w:t>
            </w:r>
            <w:r w:rsidRPr="000E65FA">
              <w:rPr>
                <w:rFonts w:ascii="Times New Roman" w:hAnsi="Times New Roman" w:cs="Times New Roman"/>
                <w:sz w:val="24"/>
                <w:szCs w:val="24"/>
              </w:rPr>
              <w:lastRenderedPageBreak/>
              <w:t>expert testimony to interpret technical data and prove unauthorized access.</w:t>
            </w:r>
          </w:p>
        </w:tc>
      </w:tr>
      <w:tr w:rsidR="000E65FA" w:rsidRPr="000E65FA" w14:paraId="0E347396" w14:textId="77777777" w:rsidTr="000E65FA">
        <w:tc>
          <w:tcPr>
            <w:tcW w:w="2337" w:type="dxa"/>
          </w:tcPr>
          <w:p w14:paraId="1C1D5B51" w14:textId="77777777" w:rsidR="000E65FA" w:rsidRPr="000E65FA" w:rsidRDefault="000E65FA" w:rsidP="000E65FA">
            <w:pPr>
              <w:rPr>
                <w:rFonts w:ascii="Times New Roman" w:hAnsi="Times New Roman" w:cs="Times New Roman"/>
                <w:sz w:val="24"/>
                <w:szCs w:val="24"/>
              </w:rPr>
            </w:pPr>
          </w:p>
        </w:tc>
        <w:tc>
          <w:tcPr>
            <w:tcW w:w="2337" w:type="dxa"/>
          </w:tcPr>
          <w:p w14:paraId="2D44F2A4" w14:textId="4DA739A5"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Federal Information Security Management Act (FISMA)</w:t>
            </w:r>
          </w:p>
        </w:tc>
        <w:tc>
          <w:tcPr>
            <w:tcW w:w="2338" w:type="dxa"/>
          </w:tcPr>
          <w:p w14:paraId="491D4A9B" w14:textId="77777777" w:rsidR="000E65FA" w:rsidRPr="000E65FA" w:rsidRDefault="000E65FA" w:rsidP="000E65FA">
            <w:pPr>
              <w:rPr>
                <w:rFonts w:ascii="Times New Roman" w:hAnsi="Times New Roman" w:cs="Times New Roman"/>
                <w:sz w:val="24"/>
                <w:szCs w:val="24"/>
              </w:rPr>
            </w:pPr>
          </w:p>
        </w:tc>
        <w:tc>
          <w:tcPr>
            <w:tcW w:w="2338" w:type="dxa"/>
          </w:tcPr>
          <w:p w14:paraId="03C3EBA9" w14:textId="77777777" w:rsidR="000E65FA" w:rsidRPr="000E65FA" w:rsidRDefault="000E65FA" w:rsidP="000E65FA">
            <w:pPr>
              <w:rPr>
                <w:rFonts w:ascii="Times New Roman" w:hAnsi="Times New Roman" w:cs="Times New Roman"/>
                <w:sz w:val="24"/>
                <w:szCs w:val="24"/>
              </w:rPr>
            </w:pPr>
          </w:p>
        </w:tc>
      </w:tr>
      <w:tr w:rsidR="000E65FA" w:rsidRPr="000E65FA" w14:paraId="1C59DC56" w14:textId="77777777" w:rsidTr="000E65FA">
        <w:tc>
          <w:tcPr>
            <w:tcW w:w="2337" w:type="dxa"/>
          </w:tcPr>
          <w:p w14:paraId="0D42F605" w14:textId="595B890B"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Victim's Identity Used to Open a New Account</w:t>
            </w:r>
          </w:p>
        </w:tc>
        <w:tc>
          <w:tcPr>
            <w:tcW w:w="2337" w:type="dxa"/>
          </w:tcPr>
          <w:p w14:paraId="5CE4DDF4" w14:textId="79BFB72E"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Identity Theft and Assumption Deterrence Act (ITADA)</w:t>
            </w:r>
          </w:p>
        </w:tc>
        <w:tc>
          <w:tcPr>
            <w:tcW w:w="2338" w:type="dxa"/>
          </w:tcPr>
          <w:p w14:paraId="5323C610" w14:textId="34B0AFA0"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Criminal</w:t>
            </w:r>
          </w:p>
        </w:tc>
        <w:tc>
          <w:tcPr>
            <w:tcW w:w="2338" w:type="dxa"/>
          </w:tcPr>
          <w:p w14:paraId="1E722749" w14:textId="05E361AB"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Evidence may include financial records, communications, and forensic analysis of account creation. Must establish fraudulent intent beyond a reasonable doubt.</w:t>
            </w:r>
          </w:p>
        </w:tc>
      </w:tr>
      <w:tr w:rsidR="000E65FA" w:rsidRPr="000E65FA" w14:paraId="57F6202A" w14:textId="77777777" w:rsidTr="000E65FA">
        <w:tc>
          <w:tcPr>
            <w:tcW w:w="2337" w:type="dxa"/>
          </w:tcPr>
          <w:p w14:paraId="3E66874A" w14:textId="77777777" w:rsidR="000E65FA" w:rsidRPr="000E65FA" w:rsidRDefault="000E65FA" w:rsidP="000E65FA">
            <w:pPr>
              <w:rPr>
                <w:rFonts w:ascii="Times New Roman" w:hAnsi="Times New Roman" w:cs="Times New Roman"/>
                <w:sz w:val="24"/>
                <w:szCs w:val="24"/>
              </w:rPr>
            </w:pPr>
          </w:p>
        </w:tc>
        <w:tc>
          <w:tcPr>
            <w:tcW w:w="2337" w:type="dxa"/>
          </w:tcPr>
          <w:p w14:paraId="7E60F6A0" w14:textId="1A5AC0B9"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Fair Credit Reporting Act (FCRA)</w:t>
            </w:r>
          </w:p>
        </w:tc>
        <w:tc>
          <w:tcPr>
            <w:tcW w:w="2338" w:type="dxa"/>
          </w:tcPr>
          <w:p w14:paraId="68E242AC" w14:textId="1B64C2EF"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Civil</w:t>
            </w:r>
          </w:p>
        </w:tc>
        <w:tc>
          <w:tcPr>
            <w:tcW w:w="2338" w:type="dxa"/>
          </w:tcPr>
          <w:p w14:paraId="4B24A5B6" w14:textId="0F85DAE8"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In civil cases, evidence might include credit reports, consumer statements, and documentation of damages, which must meet a preponderance of the evidence standard.</w:t>
            </w:r>
          </w:p>
        </w:tc>
      </w:tr>
      <w:tr w:rsidR="000E65FA" w:rsidRPr="000E65FA" w14:paraId="253D81B3" w14:textId="77777777" w:rsidTr="000E65FA">
        <w:tc>
          <w:tcPr>
            <w:tcW w:w="2337" w:type="dxa"/>
          </w:tcPr>
          <w:p w14:paraId="183CDE6D" w14:textId="440291A3"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Bank Fraud/Scam</w:t>
            </w:r>
          </w:p>
        </w:tc>
        <w:tc>
          <w:tcPr>
            <w:tcW w:w="2337" w:type="dxa"/>
          </w:tcPr>
          <w:p w14:paraId="722DB60A" w14:textId="4ABB23DC"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Bank Fraud Statute (18 U.S.C. § 1344)</w:t>
            </w:r>
          </w:p>
        </w:tc>
        <w:tc>
          <w:tcPr>
            <w:tcW w:w="2338" w:type="dxa"/>
          </w:tcPr>
          <w:p w14:paraId="5EAD918C" w14:textId="190F78CF"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Criminal</w:t>
            </w:r>
          </w:p>
        </w:tc>
        <w:tc>
          <w:tcPr>
            <w:tcW w:w="2338" w:type="dxa"/>
          </w:tcPr>
          <w:p w14:paraId="43B581B3" w14:textId="019A66B6"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 xml:space="preserve">Evidence must </w:t>
            </w:r>
            <w:proofErr w:type="gramStart"/>
            <w:r w:rsidRPr="000E65FA">
              <w:rPr>
                <w:rFonts w:ascii="Times New Roman" w:hAnsi="Times New Roman" w:cs="Times New Roman"/>
                <w:sz w:val="24"/>
                <w:szCs w:val="24"/>
              </w:rPr>
              <w:t>prove</w:t>
            </w:r>
            <w:proofErr w:type="gramEnd"/>
            <w:r w:rsidRPr="000E65FA">
              <w:rPr>
                <w:rFonts w:ascii="Times New Roman" w:hAnsi="Times New Roman" w:cs="Times New Roman"/>
                <w:sz w:val="24"/>
                <w:szCs w:val="24"/>
              </w:rPr>
              <w:t xml:space="preserve"> intent to defraud. May include transaction records, communications, and witness testimonies. Must meet the criminal standard of proof.</w:t>
            </w:r>
          </w:p>
        </w:tc>
      </w:tr>
      <w:tr w:rsidR="000E65FA" w:rsidRPr="000E65FA" w14:paraId="47ED22BA" w14:textId="77777777" w:rsidTr="000E65FA">
        <w:tc>
          <w:tcPr>
            <w:tcW w:w="2337" w:type="dxa"/>
          </w:tcPr>
          <w:p w14:paraId="43A5896B" w14:textId="77777777" w:rsidR="000E65FA" w:rsidRPr="000E65FA" w:rsidRDefault="000E65FA" w:rsidP="000E65FA">
            <w:pPr>
              <w:rPr>
                <w:rFonts w:ascii="Times New Roman" w:hAnsi="Times New Roman" w:cs="Times New Roman"/>
                <w:sz w:val="24"/>
                <w:szCs w:val="24"/>
              </w:rPr>
            </w:pPr>
          </w:p>
        </w:tc>
        <w:tc>
          <w:tcPr>
            <w:tcW w:w="2337" w:type="dxa"/>
          </w:tcPr>
          <w:p w14:paraId="40959C19" w14:textId="5E998D9B"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Federal Trade Commission Act</w:t>
            </w:r>
          </w:p>
        </w:tc>
        <w:tc>
          <w:tcPr>
            <w:tcW w:w="2338" w:type="dxa"/>
          </w:tcPr>
          <w:p w14:paraId="469236D6" w14:textId="776ACBF9"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Civil</w:t>
            </w:r>
          </w:p>
        </w:tc>
        <w:tc>
          <w:tcPr>
            <w:tcW w:w="2338" w:type="dxa"/>
          </w:tcPr>
          <w:p w14:paraId="724E7BB7" w14:textId="643CBBBD"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In civil cases, evidence can involve patterns of deceit and can be based on consumer complaints and transaction records, requiring a lower standard of proof.</w:t>
            </w:r>
          </w:p>
        </w:tc>
      </w:tr>
      <w:tr w:rsidR="000E65FA" w:rsidRPr="000E65FA" w14:paraId="70556275" w14:textId="77777777" w:rsidTr="000E65FA">
        <w:tc>
          <w:tcPr>
            <w:tcW w:w="2337" w:type="dxa"/>
          </w:tcPr>
          <w:p w14:paraId="6F5A0E29" w14:textId="7D2E5CEC"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A Firm's Credit Card Records are Stolen</w:t>
            </w:r>
          </w:p>
        </w:tc>
        <w:tc>
          <w:tcPr>
            <w:tcW w:w="2337" w:type="dxa"/>
          </w:tcPr>
          <w:p w14:paraId="6CDE3DDE" w14:textId="6158E799"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Gramm-Leach-Bliley Act (GLBA)</w:t>
            </w:r>
          </w:p>
        </w:tc>
        <w:tc>
          <w:tcPr>
            <w:tcW w:w="2338" w:type="dxa"/>
          </w:tcPr>
          <w:p w14:paraId="24F85AF9" w14:textId="3E595DF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Civil</w:t>
            </w:r>
          </w:p>
        </w:tc>
        <w:tc>
          <w:tcPr>
            <w:tcW w:w="2338" w:type="dxa"/>
          </w:tcPr>
          <w:p w14:paraId="66C6B688" w14:textId="0C81B806"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 xml:space="preserve">Evidence includes internal security </w:t>
            </w:r>
            <w:r w:rsidRPr="000E65FA">
              <w:rPr>
                <w:rFonts w:ascii="Times New Roman" w:hAnsi="Times New Roman" w:cs="Times New Roman"/>
                <w:sz w:val="24"/>
                <w:szCs w:val="24"/>
              </w:rPr>
              <w:lastRenderedPageBreak/>
              <w:t>audits, logs of unauthorized access, and records of the breach. Must demonstrate negligence or failure to comply with regulations.</w:t>
            </w:r>
          </w:p>
        </w:tc>
      </w:tr>
      <w:tr w:rsidR="000E65FA" w:rsidRPr="000E65FA" w14:paraId="7E2A4E05" w14:textId="77777777" w:rsidTr="000E65FA">
        <w:tc>
          <w:tcPr>
            <w:tcW w:w="2337" w:type="dxa"/>
          </w:tcPr>
          <w:p w14:paraId="16AF27A8" w14:textId="77777777" w:rsidR="000E65FA" w:rsidRPr="000E65FA" w:rsidRDefault="000E65FA" w:rsidP="000E65FA">
            <w:pPr>
              <w:rPr>
                <w:rFonts w:ascii="Times New Roman" w:hAnsi="Times New Roman" w:cs="Times New Roman"/>
                <w:sz w:val="24"/>
                <w:szCs w:val="24"/>
              </w:rPr>
            </w:pPr>
          </w:p>
        </w:tc>
        <w:tc>
          <w:tcPr>
            <w:tcW w:w="2337" w:type="dxa"/>
          </w:tcPr>
          <w:p w14:paraId="589102F7" w14:textId="108B8C2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Computer Fraud and Abuse Act (CFAA)</w:t>
            </w:r>
          </w:p>
        </w:tc>
        <w:tc>
          <w:tcPr>
            <w:tcW w:w="2338" w:type="dxa"/>
          </w:tcPr>
          <w:p w14:paraId="4E2B9AA4" w14:textId="08AECED9"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Criminal</w:t>
            </w:r>
          </w:p>
        </w:tc>
        <w:tc>
          <w:tcPr>
            <w:tcW w:w="2338" w:type="dxa"/>
          </w:tcPr>
          <w:p w14:paraId="79D86868" w14:textId="4FF084A0"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In criminal cases, it must be shown that the theft was intentional and malicious, using the same types of evidence as other hacking cases.</w:t>
            </w:r>
          </w:p>
        </w:tc>
      </w:tr>
    </w:tbl>
    <w:p w14:paraId="1A1307DB" w14:textId="77777777" w:rsidR="00B8123D" w:rsidRDefault="00B8123D" w:rsidP="000E65FA">
      <w:pPr>
        <w:rPr>
          <w:rFonts w:ascii="Times New Roman" w:hAnsi="Times New Roman" w:cs="Times New Roman"/>
          <w:sz w:val="24"/>
          <w:szCs w:val="24"/>
        </w:rPr>
      </w:pPr>
    </w:p>
    <w:p w14:paraId="182AB887" w14:textId="5146B1D0" w:rsidR="000E65FA" w:rsidRDefault="000E65FA" w:rsidP="000E65FA">
      <w:pPr>
        <w:rPr>
          <w:rFonts w:ascii="Times New Roman" w:hAnsi="Times New Roman" w:cs="Times New Roman"/>
          <w:sz w:val="24"/>
          <w:szCs w:val="24"/>
        </w:rPr>
      </w:pPr>
      <w:r>
        <w:rPr>
          <w:rFonts w:ascii="Times New Roman" w:hAnsi="Times New Roman" w:cs="Times New Roman"/>
          <w:sz w:val="24"/>
          <w:szCs w:val="24"/>
        </w:rPr>
        <w:t>Part 4:</w:t>
      </w:r>
    </w:p>
    <w:p w14:paraId="66489589" w14:textId="7777777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When providing information assurance, a sound defense strategy does not only look at the legal aspects but also the ethical abuses of abilities on the job.</w:t>
      </w:r>
    </w:p>
    <w:p w14:paraId="099DA1A2" w14:textId="77777777" w:rsidR="000E65FA" w:rsidRDefault="000E65FA" w:rsidP="000E65FA">
      <w:pPr>
        <w:rPr>
          <w:rFonts w:ascii="Times New Roman" w:hAnsi="Times New Roman" w:cs="Times New Roman"/>
          <w:b/>
          <w:bCs/>
          <w:sz w:val="24"/>
          <w:szCs w:val="24"/>
        </w:rPr>
      </w:pPr>
      <w:r w:rsidRPr="000E65FA">
        <w:rPr>
          <w:rFonts w:ascii="Times New Roman" w:hAnsi="Times New Roman" w:cs="Times New Roman"/>
          <w:b/>
          <w:bCs/>
          <w:sz w:val="24"/>
          <w:szCs w:val="24"/>
        </w:rPr>
        <w:t>There are three main categories of unethical behavior that organizations must seek to minimize: ignorance, accident, and intent. From your research and your professional/personal experience, provide examples of each category and best practices for how to prevent such activities from happening.</w:t>
      </w:r>
    </w:p>
    <w:p w14:paraId="5964B8D5" w14:textId="77777777" w:rsidR="000E65FA" w:rsidRPr="000E65FA" w:rsidRDefault="000E65FA" w:rsidP="000E65FA">
      <w:pPr>
        <w:rPr>
          <w:rFonts w:ascii="Times New Roman" w:hAnsi="Times New Roman" w:cs="Times New Roman"/>
          <w:sz w:val="24"/>
          <w:szCs w:val="24"/>
        </w:rPr>
      </w:pPr>
    </w:p>
    <w:p w14:paraId="7F4E76CD" w14:textId="77777777" w:rsidR="000E65FA" w:rsidRDefault="000E65FA" w:rsidP="000E65FA">
      <w:pPr>
        <w:rPr>
          <w:rFonts w:ascii="Times New Roman" w:hAnsi="Times New Roman" w:cs="Times New Roman"/>
          <w:b/>
          <w:bCs/>
          <w:sz w:val="24"/>
          <w:szCs w:val="24"/>
        </w:rPr>
      </w:pPr>
      <w:r w:rsidRPr="000E65FA">
        <w:rPr>
          <w:rFonts w:ascii="Times New Roman" w:hAnsi="Times New Roman" w:cs="Times New Roman"/>
          <w:b/>
          <w:bCs/>
          <w:sz w:val="24"/>
          <w:szCs w:val="24"/>
        </w:rPr>
        <w:t xml:space="preserve">What happens when a </w:t>
      </w:r>
      <w:proofErr w:type="gramStart"/>
      <w:r w:rsidRPr="000E65FA">
        <w:rPr>
          <w:rFonts w:ascii="Times New Roman" w:hAnsi="Times New Roman" w:cs="Times New Roman"/>
          <w:b/>
          <w:bCs/>
          <w:sz w:val="24"/>
          <w:szCs w:val="24"/>
        </w:rPr>
        <w:t>job task</w:t>
      </w:r>
      <w:proofErr w:type="gramEnd"/>
      <w:r w:rsidRPr="000E65FA">
        <w:rPr>
          <w:rFonts w:ascii="Times New Roman" w:hAnsi="Times New Roman" w:cs="Times New Roman"/>
          <w:b/>
          <w:bCs/>
          <w:sz w:val="24"/>
          <w:szCs w:val="24"/>
        </w:rPr>
        <w:t xml:space="preserve"> borders on unethical from your personal viewpoint? Is your response to the issue any different than what you discussed above? What behaviors/tasks would an organization find acceptable where your personal viewpoint may not? Select 2–3 scenarios and discuss how you would address them from a Christian worldview. Consider Matthew 18:15–18. How could you apply this to a workplace scenario?</w:t>
      </w:r>
    </w:p>
    <w:p w14:paraId="73D69B43" w14:textId="77777777" w:rsidR="000E65FA" w:rsidRPr="000E65FA" w:rsidRDefault="000E65FA" w:rsidP="000E65FA">
      <w:pPr>
        <w:rPr>
          <w:rFonts w:ascii="Times New Roman" w:hAnsi="Times New Roman" w:cs="Times New Roman"/>
          <w:sz w:val="24"/>
          <w:szCs w:val="24"/>
        </w:rPr>
      </w:pPr>
    </w:p>
    <w:p w14:paraId="00308419" w14:textId="77777777" w:rsidR="000E65FA" w:rsidRDefault="000E65FA" w:rsidP="000E65FA">
      <w:pPr>
        <w:rPr>
          <w:rFonts w:ascii="Times New Roman" w:hAnsi="Times New Roman" w:cs="Times New Roman"/>
          <w:b/>
          <w:bCs/>
          <w:sz w:val="24"/>
          <w:szCs w:val="24"/>
        </w:rPr>
      </w:pPr>
      <w:r w:rsidRPr="000E65FA">
        <w:rPr>
          <w:rFonts w:ascii="Times New Roman" w:hAnsi="Times New Roman" w:cs="Times New Roman"/>
          <w:b/>
          <w:bCs/>
          <w:sz w:val="24"/>
          <w:szCs w:val="24"/>
        </w:rPr>
        <w:t>Refer to the ISACA code of conduct. Describe the responsibilities related to the handling of data as it pertains to legal, ethical codes of conduct, and/or agency auditing issues, frameworks, and best practices.</w:t>
      </w:r>
    </w:p>
    <w:p w14:paraId="663023B9" w14:textId="77777777" w:rsidR="000E65FA" w:rsidRPr="000E65FA" w:rsidRDefault="000E65FA" w:rsidP="000E65FA">
      <w:pPr>
        <w:rPr>
          <w:rFonts w:ascii="Times New Roman" w:hAnsi="Times New Roman" w:cs="Times New Roman"/>
          <w:sz w:val="24"/>
          <w:szCs w:val="24"/>
        </w:rPr>
      </w:pPr>
    </w:p>
    <w:p w14:paraId="60485CAA" w14:textId="77777777" w:rsidR="000E65FA" w:rsidRDefault="000E65FA" w:rsidP="000E65FA">
      <w:pPr>
        <w:rPr>
          <w:rFonts w:ascii="Times New Roman" w:hAnsi="Times New Roman" w:cs="Times New Roman"/>
          <w:b/>
          <w:bCs/>
          <w:sz w:val="24"/>
          <w:szCs w:val="24"/>
        </w:rPr>
      </w:pPr>
      <w:r w:rsidRPr="000E65FA">
        <w:rPr>
          <w:rFonts w:ascii="Times New Roman" w:hAnsi="Times New Roman" w:cs="Times New Roman"/>
          <w:b/>
          <w:bCs/>
          <w:sz w:val="24"/>
          <w:szCs w:val="24"/>
        </w:rPr>
        <w:t>InfoSec professionals are under increasing pressure to provide access to information/data without sacrificing security or usability. Explore the challenges of balancing security and usability and what results if there is a lack of balance between the two.</w:t>
      </w:r>
    </w:p>
    <w:p w14:paraId="632C09EA" w14:textId="77777777" w:rsidR="000E65FA" w:rsidRPr="000E65FA" w:rsidRDefault="000E65FA" w:rsidP="000E65FA">
      <w:pPr>
        <w:rPr>
          <w:rFonts w:ascii="Times New Roman" w:hAnsi="Times New Roman" w:cs="Times New Roman"/>
          <w:sz w:val="24"/>
          <w:szCs w:val="24"/>
        </w:rPr>
      </w:pPr>
    </w:p>
    <w:p w14:paraId="5317DEB1" w14:textId="77777777" w:rsidR="000E65FA" w:rsidRDefault="000E65FA" w:rsidP="000E65FA">
      <w:pPr>
        <w:rPr>
          <w:rFonts w:ascii="Times New Roman" w:hAnsi="Times New Roman" w:cs="Times New Roman"/>
          <w:b/>
          <w:bCs/>
          <w:sz w:val="24"/>
          <w:szCs w:val="24"/>
        </w:rPr>
      </w:pPr>
      <w:r w:rsidRPr="000E65FA">
        <w:rPr>
          <w:rFonts w:ascii="Times New Roman" w:hAnsi="Times New Roman" w:cs="Times New Roman"/>
          <w:b/>
          <w:bCs/>
          <w:sz w:val="24"/>
          <w:szCs w:val="24"/>
        </w:rPr>
        <w:lastRenderedPageBreak/>
        <w:t>Describe how you would integrate information assurance and security requirements into an organization's processes and practices.</w:t>
      </w:r>
    </w:p>
    <w:p w14:paraId="3318A082" w14:textId="77777777" w:rsidR="000E65FA" w:rsidRPr="000E65FA" w:rsidRDefault="000E65FA" w:rsidP="000E65FA">
      <w:pPr>
        <w:rPr>
          <w:rFonts w:ascii="Times New Roman" w:hAnsi="Times New Roman" w:cs="Times New Roman"/>
          <w:sz w:val="24"/>
          <w:szCs w:val="24"/>
        </w:rPr>
      </w:pPr>
    </w:p>
    <w:p w14:paraId="55C71AF8" w14:textId="77777777" w:rsidR="000E65FA" w:rsidRDefault="000E65FA" w:rsidP="000E65FA">
      <w:pPr>
        <w:rPr>
          <w:rFonts w:ascii="Times New Roman" w:hAnsi="Times New Roman" w:cs="Times New Roman"/>
          <w:b/>
          <w:bCs/>
          <w:sz w:val="24"/>
          <w:szCs w:val="24"/>
        </w:rPr>
      </w:pPr>
      <w:r w:rsidRPr="000E65FA">
        <w:rPr>
          <w:rFonts w:ascii="Times New Roman" w:hAnsi="Times New Roman" w:cs="Times New Roman"/>
          <w:b/>
          <w:bCs/>
          <w:sz w:val="24"/>
          <w:szCs w:val="24"/>
        </w:rPr>
        <w:t>Examine the ethical considerations of ethics and cyberspace, ethical issues, property, availability, rights of others, respect and principles of community, resource use, allocation, and abuse, censorship, ethics-based decision tools, and cybersecurity and social responsibility.</w:t>
      </w:r>
    </w:p>
    <w:p w14:paraId="6E83031D" w14:textId="77777777" w:rsidR="000E65FA" w:rsidRPr="000E65FA" w:rsidRDefault="000E65FA" w:rsidP="000E65FA">
      <w:pPr>
        <w:rPr>
          <w:rFonts w:ascii="Times New Roman" w:hAnsi="Times New Roman" w:cs="Times New Roman"/>
          <w:sz w:val="24"/>
          <w:szCs w:val="24"/>
        </w:rPr>
      </w:pPr>
    </w:p>
    <w:p w14:paraId="12371468" w14:textId="77777777" w:rsidR="000E65FA" w:rsidRPr="000E65FA" w:rsidRDefault="000E65FA" w:rsidP="000E65FA">
      <w:pPr>
        <w:rPr>
          <w:rFonts w:ascii="Times New Roman" w:hAnsi="Times New Roman" w:cs="Times New Roman"/>
          <w:sz w:val="24"/>
          <w:szCs w:val="24"/>
        </w:rPr>
      </w:pPr>
    </w:p>
    <w:sectPr w:rsidR="000E65FA" w:rsidRPr="000E6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5D84"/>
    <w:multiLevelType w:val="multilevel"/>
    <w:tmpl w:val="B0EA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5174A"/>
    <w:multiLevelType w:val="multilevel"/>
    <w:tmpl w:val="3BE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06434"/>
    <w:multiLevelType w:val="multilevel"/>
    <w:tmpl w:val="D2A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A309D7"/>
    <w:multiLevelType w:val="multilevel"/>
    <w:tmpl w:val="539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60FA5"/>
    <w:multiLevelType w:val="multilevel"/>
    <w:tmpl w:val="BE2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C67FF"/>
    <w:multiLevelType w:val="multilevel"/>
    <w:tmpl w:val="FF62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72F7A"/>
    <w:multiLevelType w:val="multilevel"/>
    <w:tmpl w:val="2468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73786"/>
    <w:multiLevelType w:val="multilevel"/>
    <w:tmpl w:val="7DB6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70378E"/>
    <w:multiLevelType w:val="multilevel"/>
    <w:tmpl w:val="FEF4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21774"/>
    <w:multiLevelType w:val="hybridMultilevel"/>
    <w:tmpl w:val="DBD62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46DA6"/>
    <w:multiLevelType w:val="multilevel"/>
    <w:tmpl w:val="8C5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321195"/>
    <w:multiLevelType w:val="multilevel"/>
    <w:tmpl w:val="6C4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C389D"/>
    <w:multiLevelType w:val="multilevel"/>
    <w:tmpl w:val="5048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55352">
    <w:abstractNumId w:val="1"/>
  </w:num>
  <w:num w:numId="2" w16cid:durableId="851605170">
    <w:abstractNumId w:val="5"/>
  </w:num>
  <w:num w:numId="3" w16cid:durableId="2039772643">
    <w:abstractNumId w:val="0"/>
  </w:num>
  <w:num w:numId="4" w16cid:durableId="36201450">
    <w:abstractNumId w:val="9"/>
  </w:num>
  <w:num w:numId="5" w16cid:durableId="1557818485">
    <w:abstractNumId w:val="3"/>
  </w:num>
  <w:num w:numId="6" w16cid:durableId="1659573791">
    <w:abstractNumId w:val="2"/>
  </w:num>
  <w:num w:numId="7" w16cid:durableId="76173932">
    <w:abstractNumId w:val="12"/>
  </w:num>
  <w:num w:numId="8" w16cid:durableId="39600191">
    <w:abstractNumId w:val="4"/>
  </w:num>
  <w:num w:numId="9" w16cid:durableId="1408116135">
    <w:abstractNumId w:val="11"/>
  </w:num>
  <w:num w:numId="10" w16cid:durableId="411198910">
    <w:abstractNumId w:val="6"/>
  </w:num>
  <w:num w:numId="11" w16cid:durableId="402798828">
    <w:abstractNumId w:val="8"/>
  </w:num>
  <w:num w:numId="12" w16cid:durableId="961956881">
    <w:abstractNumId w:val="7"/>
  </w:num>
  <w:num w:numId="13" w16cid:durableId="1455157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D8"/>
    <w:rsid w:val="000E65FA"/>
    <w:rsid w:val="000F4462"/>
    <w:rsid w:val="001646E4"/>
    <w:rsid w:val="00230ED8"/>
    <w:rsid w:val="002B1ADF"/>
    <w:rsid w:val="007B3281"/>
    <w:rsid w:val="00B8123D"/>
    <w:rsid w:val="00C40D34"/>
    <w:rsid w:val="00D8417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BDE4"/>
  <w15:chartTrackingRefBased/>
  <w15:docId w15:val="{736FD34B-901C-4E32-9EDA-B8EACE5F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ED8"/>
    <w:rPr>
      <w:rFonts w:eastAsiaTheme="majorEastAsia" w:cstheme="majorBidi"/>
      <w:color w:val="272727" w:themeColor="text1" w:themeTint="D8"/>
    </w:rPr>
  </w:style>
  <w:style w:type="paragraph" w:styleId="Title">
    <w:name w:val="Title"/>
    <w:basedOn w:val="Normal"/>
    <w:next w:val="Normal"/>
    <w:link w:val="TitleChar"/>
    <w:uiPriority w:val="10"/>
    <w:qFormat/>
    <w:rsid w:val="00230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ED8"/>
    <w:pPr>
      <w:spacing w:before="160"/>
      <w:jc w:val="center"/>
    </w:pPr>
    <w:rPr>
      <w:i/>
      <w:iCs/>
      <w:color w:val="404040" w:themeColor="text1" w:themeTint="BF"/>
    </w:rPr>
  </w:style>
  <w:style w:type="character" w:customStyle="1" w:styleId="QuoteChar">
    <w:name w:val="Quote Char"/>
    <w:basedOn w:val="DefaultParagraphFont"/>
    <w:link w:val="Quote"/>
    <w:uiPriority w:val="29"/>
    <w:rsid w:val="00230ED8"/>
    <w:rPr>
      <w:i/>
      <w:iCs/>
      <w:color w:val="404040" w:themeColor="text1" w:themeTint="BF"/>
    </w:rPr>
  </w:style>
  <w:style w:type="paragraph" w:styleId="ListParagraph">
    <w:name w:val="List Paragraph"/>
    <w:basedOn w:val="Normal"/>
    <w:uiPriority w:val="34"/>
    <w:qFormat/>
    <w:rsid w:val="00230ED8"/>
    <w:pPr>
      <w:ind w:left="720"/>
      <w:contextualSpacing/>
    </w:pPr>
  </w:style>
  <w:style w:type="character" w:styleId="IntenseEmphasis">
    <w:name w:val="Intense Emphasis"/>
    <w:basedOn w:val="DefaultParagraphFont"/>
    <w:uiPriority w:val="21"/>
    <w:qFormat/>
    <w:rsid w:val="00230ED8"/>
    <w:rPr>
      <w:i/>
      <w:iCs/>
      <w:color w:val="0F4761" w:themeColor="accent1" w:themeShade="BF"/>
    </w:rPr>
  </w:style>
  <w:style w:type="paragraph" w:styleId="IntenseQuote">
    <w:name w:val="Intense Quote"/>
    <w:basedOn w:val="Normal"/>
    <w:next w:val="Normal"/>
    <w:link w:val="IntenseQuoteChar"/>
    <w:uiPriority w:val="30"/>
    <w:qFormat/>
    <w:rsid w:val="00230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ED8"/>
    <w:rPr>
      <w:i/>
      <w:iCs/>
      <w:color w:val="0F4761" w:themeColor="accent1" w:themeShade="BF"/>
    </w:rPr>
  </w:style>
  <w:style w:type="character" w:styleId="IntenseReference">
    <w:name w:val="Intense Reference"/>
    <w:basedOn w:val="DefaultParagraphFont"/>
    <w:uiPriority w:val="32"/>
    <w:qFormat/>
    <w:rsid w:val="00230ED8"/>
    <w:rPr>
      <w:b/>
      <w:bCs/>
      <w:smallCaps/>
      <w:color w:val="0F4761" w:themeColor="accent1" w:themeShade="BF"/>
      <w:spacing w:val="5"/>
    </w:rPr>
  </w:style>
  <w:style w:type="table" w:styleId="TableGrid">
    <w:name w:val="Table Grid"/>
    <w:basedOn w:val="TableNormal"/>
    <w:uiPriority w:val="39"/>
    <w:rsid w:val="00C4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0510">
      <w:bodyDiv w:val="1"/>
      <w:marLeft w:val="0"/>
      <w:marRight w:val="0"/>
      <w:marTop w:val="0"/>
      <w:marBottom w:val="0"/>
      <w:divBdr>
        <w:top w:val="none" w:sz="0" w:space="0" w:color="auto"/>
        <w:left w:val="none" w:sz="0" w:space="0" w:color="auto"/>
        <w:bottom w:val="none" w:sz="0" w:space="0" w:color="auto"/>
        <w:right w:val="none" w:sz="0" w:space="0" w:color="auto"/>
      </w:divBdr>
    </w:div>
    <w:div w:id="162358080">
      <w:bodyDiv w:val="1"/>
      <w:marLeft w:val="0"/>
      <w:marRight w:val="0"/>
      <w:marTop w:val="0"/>
      <w:marBottom w:val="0"/>
      <w:divBdr>
        <w:top w:val="none" w:sz="0" w:space="0" w:color="auto"/>
        <w:left w:val="none" w:sz="0" w:space="0" w:color="auto"/>
        <w:bottom w:val="none" w:sz="0" w:space="0" w:color="auto"/>
        <w:right w:val="none" w:sz="0" w:space="0" w:color="auto"/>
      </w:divBdr>
    </w:div>
    <w:div w:id="206988905">
      <w:bodyDiv w:val="1"/>
      <w:marLeft w:val="0"/>
      <w:marRight w:val="0"/>
      <w:marTop w:val="0"/>
      <w:marBottom w:val="0"/>
      <w:divBdr>
        <w:top w:val="none" w:sz="0" w:space="0" w:color="auto"/>
        <w:left w:val="none" w:sz="0" w:space="0" w:color="auto"/>
        <w:bottom w:val="none" w:sz="0" w:space="0" w:color="auto"/>
        <w:right w:val="none" w:sz="0" w:space="0" w:color="auto"/>
      </w:divBdr>
    </w:div>
    <w:div w:id="299921507">
      <w:bodyDiv w:val="1"/>
      <w:marLeft w:val="0"/>
      <w:marRight w:val="0"/>
      <w:marTop w:val="0"/>
      <w:marBottom w:val="0"/>
      <w:divBdr>
        <w:top w:val="none" w:sz="0" w:space="0" w:color="auto"/>
        <w:left w:val="none" w:sz="0" w:space="0" w:color="auto"/>
        <w:bottom w:val="none" w:sz="0" w:space="0" w:color="auto"/>
        <w:right w:val="none" w:sz="0" w:space="0" w:color="auto"/>
      </w:divBdr>
    </w:div>
    <w:div w:id="567038435">
      <w:bodyDiv w:val="1"/>
      <w:marLeft w:val="0"/>
      <w:marRight w:val="0"/>
      <w:marTop w:val="0"/>
      <w:marBottom w:val="0"/>
      <w:divBdr>
        <w:top w:val="none" w:sz="0" w:space="0" w:color="auto"/>
        <w:left w:val="none" w:sz="0" w:space="0" w:color="auto"/>
        <w:bottom w:val="none" w:sz="0" w:space="0" w:color="auto"/>
        <w:right w:val="none" w:sz="0" w:space="0" w:color="auto"/>
      </w:divBdr>
    </w:div>
    <w:div w:id="729811818">
      <w:bodyDiv w:val="1"/>
      <w:marLeft w:val="0"/>
      <w:marRight w:val="0"/>
      <w:marTop w:val="0"/>
      <w:marBottom w:val="0"/>
      <w:divBdr>
        <w:top w:val="none" w:sz="0" w:space="0" w:color="auto"/>
        <w:left w:val="none" w:sz="0" w:space="0" w:color="auto"/>
        <w:bottom w:val="none" w:sz="0" w:space="0" w:color="auto"/>
        <w:right w:val="none" w:sz="0" w:space="0" w:color="auto"/>
      </w:divBdr>
    </w:div>
    <w:div w:id="764351413">
      <w:bodyDiv w:val="1"/>
      <w:marLeft w:val="0"/>
      <w:marRight w:val="0"/>
      <w:marTop w:val="0"/>
      <w:marBottom w:val="0"/>
      <w:divBdr>
        <w:top w:val="none" w:sz="0" w:space="0" w:color="auto"/>
        <w:left w:val="none" w:sz="0" w:space="0" w:color="auto"/>
        <w:bottom w:val="none" w:sz="0" w:space="0" w:color="auto"/>
        <w:right w:val="none" w:sz="0" w:space="0" w:color="auto"/>
      </w:divBdr>
    </w:div>
    <w:div w:id="961689334">
      <w:bodyDiv w:val="1"/>
      <w:marLeft w:val="0"/>
      <w:marRight w:val="0"/>
      <w:marTop w:val="0"/>
      <w:marBottom w:val="0"/>
      <w:divBdr>
        <w:top w:val="none" w:sz="0" w:space="0" w:color="auto"/>
        <w:left w:val="none" w:sz="0" w:space="0" w:color="auto"/>
        <w:bottom w:val="none" w:sz="0" w:space="0" w:color="auto"/>
        <w:right w:val="none" w:sz="0" w:space="0" w:color="auto"/>
      </w:divBdr>
    </w:div>
    <w:div w:id="1023285359">
      <w:bodyDiv w:val="1"/>
      <w:marLeft w:val="0"/>
      <w:marRight w:val="0"/>
      <w:marTop w:val="0"/>
      <w:marBottom w:val="0"/>
      <w:divBdr>
        <w:top w:val="none" w:sz="0" w:space="0" w:color="auto"/>
        <w:left w:val="none" w:sz="0" w:space="0" w:color="auto"/>
        <w:bottom w:val="none" w:sz="0" w:space="0" w:color="auto"/>
        <w:right w:val="none" w:sz="0" w:space="0" w:color="auto"/>
      </w:divBdr>
    </w:div>
    <w:div w:id="1070808171">
      <w:bodyDiv w:val="1"/>
      <w:marLeft w:val="0"/>
      <w:marRight w:val="0"/>
      <w:marTop w:val="0"/>
      <w:marBottom w:val="0"/>
      <w:divBdr>
        <w:top w:val="none" w:sz="0" w:space="0" w:color="auto"/>
        <w:left w:val="none" w:sz="0" w:space="0" w:color="auto"/>
        <w:bottom w:val="none" w:sz="0" w:space="0" w:color="auto"/>
        <w:right w:val="none" w:sz="0" w:space="0" w:color="auto"/>
      </w:divBdr>
    </w:div>
    <w:div w:id="1207373159">
      <w:bodyDiv w:val="1"/>
      <w:marLeft w:val="0"/>
      <w:marRight w:val="0"/>
      <w:marTop w:val="0"/>
      <w:marBottom w:val="0"/>
      <w:divBdr>
        <w:top w:val="none" w:sz="0" w:space="0" w:color="auto"/>
        <w:left w:val="none" w:sz="0" w:space="0" w:color="auto"/>
        <w:bottom w:val="none" w:sz="0" w:space="0" w:color="auto"/>
        <w:right w:val="none" w:sz="0" w:space="0" w:color="auto"/>
      </w:divBdr>
    </w:div>
    <w:div w:id="1288468556">
      <w:bodyDiv w:val="1"/>
      <w:marLeft w:val="0"/>
      <w:marRight w:val="0"/>
      <w:marTop w:val="0"/>
      <w:marBottom w:val="0"/>
      <w:divBdr>
        <w:top w:val="none" w:sz="0" w:space="0" w:color="auto"/>
        <w:left w:val="none" w:sz="0" w:space="0" w:color="auto"/>
        <w:bottom w:val="none" w:sz="0" w:space="0" w:color="auto"/>
        <w:right w:val="none" w:sz="0" w:space="0" w:color="auto"/>
      </w:divBdr>
    </w:div>
    <w:div w:id="1388452363">
      <w:bodyDiv w:val="1"/>
      <w:marLeft w:val="0"/>
      <w:marRight w:val="0"/>
      <w:marTop w:val="0"/>
      <w:marBottom w:val="0"/>
      <w:divBdr>
        <w:top w:val="none" w:sz="0" w:space="0" w:color="auto"/>
        <w:left w:val="none" w:sz="0" w:space="0" w:color="auto"/>
        <w:bottom w:val="none" w:sz="0" w:space="0" w:color="auto"/>
        <w:right w:val="none" w:sz="0" w:space="0" w:color="auto"/>
      </w:divBdr>
    </w:div>
    <w:div w:id="1525552535">
      <w:bodyDiv w:val="1"/>
      <w:marLeft w:val="0"/>
      <w:marRight w:val="0"/>
      <w:marTop w:val="0"/>
      <w:marBottom w:val="0"/>
      <w:divBdr>
        <w:top w:val="none" w:sz="0" w:space="0" w:color="auto"/>
        <w:left w:val="none" w:sz="0" w:space="0" w:color="auto"/>
        <w:bottom w:val="none" w:sz="0" w:space="0" w:color="auto"/>
        <w:right w:val="none" w:sz="0" w:space="0" w:color="auto"/>
      </w:divBdr>
    </w:div>
    <w:div w:id="1604874068">
      <w:bodyDiv w:val="1"/>
      <w:marLeft w:val="0"/>
      <w:marRight w:val="0"/>
      <w:marTop w:val="0"/>
      <w:marBottom w:val="0"/>
      <w:divBdr>
        <w:top w:val="none" w:sz="0" w:space="0" w:color="auto"/>
        <w:left w:val="none" w:sz="0" w:space="0" w:color="auto"/>
        <w:bottom w:val="none" w:sz="0" w:space="0" w:color="auto"/>
        <w:right w:val="none" w:sz="0" w:space="0" w:color="auto"/>
      </w:divBdr>
    </w:div>
    <w:div w:id="1683161215">
      <w:bodyDiv w:val="1"/>
      <w:marLeft w:val="0"/>
      <w:marRight w:val="0"/>
      <w:marTop w:val="0"/>
      <w:marBottom w:val="0"/>
      <w:divBdr>
        <w:top w:val="none" w:sz="0" w:space="0" w:color="auto"/>
        <w:left w:val="none" w:sz="0" w:space="0" w:color="auto"/>
        <w:bottom w:val="none" w:sz="0" w:space="0" w:color="auto"/>
        <w:right w:val="none" w:sz="0" w:space="0" w:color="auto"/>
      </w:divBdr>
    </w:div>
    <w:div w:id="1734964843">
      <w:bodyDiv w:val="1"/>
      <w:marLeft w:val="0"/>
      <w:marRight w:val="0"/>
      <w:marTop w:val="0"/>
      <w:marBottom w:val="0"/>
      <w:divBdr>
        <w:top w:val="none" w:sz="0" w:space="0" w:color="auto"/>
        <w:left w:val="none" w:sz="0" w:space="0" w:color="auto"/>
        <w:bottom w:val="none" w:sz="0" w:space="0" w:color="auto"/>
        <w:right w:val="none" w:sz="0" w:space="0" w:color="auto"/>
      </w:divBdr>
    </w:div>
    <w:div w:id="1793207402">
      <w:bodyDiv w:val="1"/>
      <w:marLeft w:val="0"/>
      <w:marRight w:val="0"/>
      <w:marTop w:val="0"/>
      <w:marBottom w:val="0"/>
      <w:divBdr>
        <w:top w:val="none" w:sz="0" w:space="0" w:color="auto"/>
        <w:left w:val="none" w:sz="0" w:space="0" w:color="auto"/>
        <w:bottom w:val="none" w:sz="0" w:space="0" w:color="auto"/>
        <w:right w:val="none" w:sz="0" w:space="0" w:color="auto"/>
      </w:divBdr>
    </w:div>
    <w:div w:id="1912689833">
      <w:bodyDiv w:val="1"/>
      <w:marLeft w:val="0"/>
      <w:marRight w:val="0"/>
      <w:marTop w:val="0"/>
      <w:marBottom w:val="0"/>
      <w:divBdr>
        <w:top w:val="none" w:sz="0" w:space="0" w:color="auto"/>
        <w:left w:val="none" w:sz="0" w:space="0" w:color="auto"/>
        <w:bottom w:val="none" w:sz="0" w:space="0" w:color="auto"/>
        <w:right w:val="none" w:sz="0" w:space="0" w:color="auto"/>
      </w:divBdr>
    </w:div>
    <w:div w:id="20939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2025-02-02T16:51:00Z</dcterms:created>
  <dcterms:modified xsi:type="dcterms:W3CDTF">2025-02-02T18:18:00Z</dcterms:modified>
</cp:coreProperties>
</file>