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6E134" w14:textId="2EEFC96E" w:rsidR="000F4462" w:rsidRDefault="000F3975">
      <w:r w:rsidRPr="000F3975">
        <w:t>Topic 2 Discussion 4</w:t>
      </w:r>
    </w:p>
    <w:p w14:paraId="35D5863C" w14:textId="77777777" w:rsidR="000F3975" w:rsidRPr="000F3975" w:rsidRDefault="000F3975" w:rsidP="000F3975">
      <w:r w:rsidRPr="000F3975">
        <w:t>Explore the Health Insurance Portability and Accountability Act of 1996 (HIPPA). Explain the six required annual audits/assessments (listed below) that are necessary for an organization to maintain HIPAA compliance.</w:t>
      </w:r>
    </w:p>
    <w:p w14:paraId="5B8B84A9" w14:textId="77777777" w:rsidR="000F3975" w:rsidRPr="000F3975" w:rsidRDefault="000F3975" w:rsidP="000F3975">
      <w:pPr>
        <w:numPr>
          <w:ilvl w:val="0"/>
          <w:numId w:val="1"/>
        </w:numPr>
      </w:pPr>
      <w:r w:rsidRPr="000F3975">
        <w:t>Security Risk Assessment (security mechanisms [e.g., identification/authentication, audit])</w:t>
      </w:r>
    </w:p>
    <w:p w14:paraId="126D3192" w14:textId="77777777" w:rsidR="000F3975" w:rsidRPr="000F3975" w:rsidRDefault="000F3975" w:rsidP="000F3975">
      <w:pPr>
        <w:numPr>
          <w:ilvl w:val="0"/>
          <w:numId w:val="1"/>
        </w:numPr>
      </w:pPr>
      <w:r w:rsidRPr="000F3975">
        <w:t>Privacy Standards Audit (not required for BAs)</w:t>
      </w:r>
    </w:p>
    <w:p w14:paraId="02137048" w14:textId="77777777" w:rsidR="000F3975" w:rsidRPr="000F3975" w:rsidRDefault="000F3975" w:rsidP="000F3975">
      <w:pPr>
        <w:numPr>
          <w:ilvl w:val="0"/>
          <w:numId w:val="1"/>
        </w:numPr>
      </w:pPr>
      <w:r w:rsidRPr="000F3975">
        <w:t>HITECH Subtitle D Privacy Audit</w:t>
      </w:r>
    </w:p>
    <w:p w14:paraId="3EC71D26" w14:textId="77777777" w:rsidR="000F3975" w:rsidRPr="000F3975" w:rsidRDefault="000F3975" w:rsidP="000F3975">
      <w:pPr>
        <w:numPr>
          <w:ilvl w:val="0"/>
          <w:numId w:val="1"/>
        </w:numPr>
      </w:pPr>
      <w:r w:rsidRPr="000F3975">
        <w:t>Security Standards Audit</w:t>
      </w:r>
    </w:p>
    <w:p w14:paraId="77B60DF9" w14:textId="77777777" w:rsidR="000F3975" w:rsidRPr="000F3975" w:rsidRDefault="000F3975" w:rsidP="000F3975">
      <w:pPr>
        <w:numPr>
          <w:ilvl w:val="0"/>
          <w:numId w:val="1"/>
        </w:numPr>
      </w:pPr>
      <w:r w:rsidRPr="000F3975">
        <w:t>Asset and Device Audit</w:t>
      </w:r>
    </w:p>
    <w:p w14:paraId="1E431221" w14:textId="77777777" w:rsidR="000F3975" w:rsidRPr="000F3975" w:rsidRDefault="000F3975" w:rsidP="000F3975">
      <w:pPr>
        <w:numPr>
          <w:ilvl w:val="0"/>
          <w:numId w:val="1"/>
        </w:numPr>
      </w:pPr>
      <w:r w:rsidRPr="000F3975">
        <w:t>Physical Site Audit</w:t>
      </w:r>
    </w:p>
    <w:p w14:paraId="1652E8AE" w14:textId="515AA4C4" w:rsidR="000F3975" w:rsidRDefault="00971792">
      <w:r>
        <w:t>Hello Class,</w:t>
      </w:r>
    </w:p>
    <w:p w14:paraId="7C531C31" w14:textId="77777777" w:rsidR="00971792" w:rsidRPr="00971792" w:rsidRDefault="00971792" w:rsidP="00971792">
      <w:r w:rsidRPr="00971792">
        <w:t>The </w:t>
      </w:r>
      <w:r w:rsidRPr="00971792">
        <w:rPr>
          <w:b/>
          <w:bCs/>
        </w:rPr>
        <w:t>Health Insurance Portability and Accountability Act of 1996 (HIPAA)</w:t>
      </w:r>
      <w:r w:rsidRPr="00971792">
        <w:t> is a pivotal piece of legislation designed to protect the privacy and security of individuals' health information. To maintain compliance with HIPAA, organizations must conduct several required annual audits and assessments. These audits ensure that covered entities and business associates adhere to the established standards for safeguarding protected health information (PHI). Here’s a detailed look at the six essential audits:</w:t>
      </w:r>
    </w:p>
    <w:p w14:paraId="1B6D8B33" w14:textId="77777777" w:rsidR="00971792" w:rsidRPr="00971792" w:rsidRDefault="00971792" w:rsidP="00971792">
      <w:pPr>
        <w:numPr>
          <w:ilvl w:val="0"/>
          <w:numId w:val="2"/>
        </w:numPr>
      </w:pPr>
      <w:r w:rsidRPr="00971792">
        <w:rPr>
          <w:b/>
          <w:bCs/>
        </w:rPr>
        <w:t>Security Risk Assessment</w:t>
      </w:r>
      <w:r w:rsidRPr="00971792">
        <w:t>: This assessment evaluates the effectiveness of security mechanisms in place, such as identification, authentication, and audit controls. It identifies potential vulnerabilities and threats to PHI, allowing organizations to implement necessary safeguards to mitigate risks.</w:t>
      </w:r>
    </w:p>
    <w:p w14:paraId="5481DFB2" w14:textId="77777777" w:rsidR="00971792" w:rsidRPr="00971792" w:rsidRDefault="00971792" w:rsidP="00971792">
      <w:pPr>
        <w:numPr>
          <w:ilvl w:val="0"/>
          <w:numId w:val="2"/>
        </w:numPr>
      </w:pPr>
      <w:r w:rsidRPr="00971792">
        <w:rPr>
          <w:b/>
          <w:bCs/>
        </w:rPr>
        <w:t>Privacy Standards Audit</w:t>
      </w:r>
      <w:r w:rsidRPr="00971792">
        <w:t>: While this audit is not required for business associates (BAs), it is crucial for covered entities. It assesses compliance with HIPAA's privacy rules, ensuring that patient information is handled appropriately and that individuals' rights to access their health information are upheld.</w:t>
      </w:r>
    </w:p>
    <w:p w14:paraId="156F8409" w14:textId="77777777" w:rsidR="00971792" w:rsidRPr="00971792" w:rsidRDefault="00971792" w:rsidP="00971792">
      <w:pPr>
        <w:numPr>
          <w:ilvl w:val="0"/>
          <w:numId w:val="2"/>
        </w:numPr>
      </w:pPr>
      <w:r w:rsidRPr="00971792">
        <w:rPr>
          <w:b/>
          <w:bCs/>
        </w:rPr>
        <w:t>HITECH Subtitle D Privacy Audit</w:t>
      </w:r>
      <w:r w:rsidRPr="00971792">
        <w:t>: This audit focuses on the provisions of the Health Information Technology for Economic and Clinical Health (HITECH) Act, which enhances privacy protections for electronic health information. It ensures that organizations comply with the stricter privacy standards introduced by HITECH.</w:t>
      </w:r>
    </w:p>
    <w:p w14:paraId="722914F9" w14:textId="77777777" w:rsidR="00971792" w:rsidRPr="00971792" w:rsidRDefault="00971792" w:rsidP="00971792">
      <w:pPr>
        <w:numPr>
          <w:ilvl w:val="0"/>
          <w:numId w:val="2"/>
        </w:numPr>
      </w:pPr>
      <w:r w:rsidRPr="00971792">
        <w:rPr>
          <w:b/>
          <w:bCs/>
        </w:rPr>
        <w:t>Security Standards Audit</w:t>
      </w:r>
      <w:r w:rsidRPr="00971792">
        <w:t>: This audit examines the technical and administrative safeguards that organizations have implemented to protect electronic PHI. It assesses compliance with the HIPAA Security Rule, ensuring that appropriate measures are in place to prevent unauthorized access and breaches.</w:t>
      </w:r>
    </w:p>
    <w:p w14:paraId="2D168E24" w14:textId="77777777" w:rsidR="00971792" w:rsidRPr="00971792" w:rsidRDefault="00971792" w:rsidP="00971792">
      <w:pPr>
        <w:numPr>
          <w:ilvl w:val="0"/>
          <w:numId w:val="2"/>
        </w:numPr>
      </w:pPr>
      <w:r w:rsidRPr="00971792">
        <w:rPr>
          <w:b/>
          <w:bCs/>
        </w:rPr>
        <w:t>Asset and Device Audit</w:t>
      </w:r>
      <w:r w:rsidRPr="00971792">
        <w:t>: This audit involves inventorying all devices and assets that store or transmit PHI. It ensures that organizations have a clear understanding of their assets, which is essential for managing risks and implementing security measures effectively.</w:t>
      </w:r>
    </w:p>
    <w:p w14:paraId="5557D451" w14:textId="77777777" w:rsidR="00971792" w:rsidRPr="00971792" w:rsidRDefault="00971792" w:rsidP="00971792">
      <w:pPr>
        <w:numPr>
          <w:ilvl w:val="0"/>
          <w:numId w:val="2"/>
        </w:numPr>
      </w:pPr>
      <w:r w:rsidRPr="00971792">
        <w:rPr>
          <w:b/>
          <w:bCs/>
        </w:rPr>
        <w:lastRenderedPageBreak/>
        <w:t>Physical Site Audit</w:t>
      </w:r>
      <w:r w:rsidRPr="00971792">
        <w:t>: This assessment evaluates the physical security of facilities where PHI is stored or accessed. It examines access controls, surveillance measures, and environmental safeguards to ensure that physical threats to health information are minimized.</w:t>
      </w:r>
    </w:p>
    <w:p w14:paraId="25790E14" w14:textId="77777777" w:rsidR="00971792" w:rsidRDefault="00971792" w:rsidP="00971792">
      <w:r w:rsidRPr="00971792">
        <w:t>These audits are not just regulatory requirements; they are integral to fostering a culture of compliance and security within healthcare organizations. Regularly conducting these assessments helps organizations identify weaknesses, implement corrective actions, and ultimately protect the sensitive health information of individuals.</w:t>
      </w:r>
    </w:p>
    <w:p w14:paraId="446A3446" w14:textId="77777777" w:rsidR="000A4F69" w:rsidRDefault="000A4F69" w:rsidP="00971792"/>
    <w:p w14:paraId="54BB7DD1" w14:textId="665F74AA" w:rsidR="000A4F69" w:rsidRDefault="008C1EF5" w:rsidP="00971792">
      <w:hyperlink r:id="rId5" w:history="1">
        <w:r w:rsidRPr="008E4DAD">
          <w:rPr>
            <w:rStyle w:val="Hyperlink"/>
          </w:rPr>
          <w:t>https://sprinto.com/blog/hipaa-compliance-audit/</w:t>
        </w:r>
      </w:hyperlink>
    </w:p>
    <w:p w14:paraId="6BB460B9" w14:textId="0BC811AE" w:rsidR="008C1EF5" w:rsidRDefault="00514A51" w:rsidP="00971792">
      <w:hyperlink r:id="rId6" w:history="1">
        <w:r w:rsidRPr="008E4DAD">
          <w:rPr>
            <w:rStyle w:val="Hyperlink"/>
          </w:rPr>
          <w:t>https://www.hipaajournal.com/hipaa-audit-checklist/</w:t>
        </w:r>
      </w:hyperlink>
    </w:p>
    <w:p w14:paraId="7F70C6E6" w14:textId="62321CA4" w:rsidR="00514A51" w:rsidRDefault="00514A51" w:rsidP="00971792">
      <w:hyperlink r:id="rId7" w:history="1">
        <w:r w:rsidRPr="008E4DAD">
          <w:rPr>
            <w:rStyle w:val="Hyperlink"/>
          </w:rPr>
          <w:t>https://www.ama-assn.org/practice-management/hipaa/hipaa-audits</w:t>
        </w:r>
      </w:hyperlink>
    </w:p>
    <w:p w14:paraId="6E37457E" w14:textId="28FC6CA7" w:rsidR="00514A51" w:rsidRDefault="00B54C0A" w:rsidP="00971792">
      <w:hyperlink r:id="rId8" w:history="1">
        <w:r w:rsidRPr="008E4DAD">
          <w:rPr>
            <w:rStyle w:val="Hyperlink"/>
          </w:rPr>
          <w:t>https://www.hhs.gov/hipaa/for-professionals/compliance-enforcement/audit/index.html</w:t>
        </w:r>
      </w:hyperlink>
    </w:p>
    <w:p w14:paraId="311369EC" w14:textId="77777777" w:rsidR="00B54C0A" w:rsidRPr="00971792" w:rsidRDefault="00B54C0A" w:rsidP="00971792"/>
    <w:p w14:paraId="64CC5428" w14:textId="77777777" w:rsidR="00971792" w:rsidRDefault="00971792"/>
    <w:sectPr w:rsidR="0097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56BB"/>
    <w:multiLevelType w:val="multilevel"/>
    <w:tmpl w:val="2DB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33623"/>
    <w:multiLevelType w:val="multilevel"/>
    <w:tmpl w:val="2C20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875056">
    <w:abstractNumId w:val="0"/>
  </w:num>
  <w:num w:numId="2" w16cid:durableId="206617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F"/>
    <w:rsid w:val="000A4F69"/>
    <w:rsid w:val="000F3975"/>
    <w:rsid w:val="000F4462"/>
    <w:rsid w:val="001646E4"/>
    <w:rsid w:val="002B1ADF"/>
    <w:rsid w:val="003A2C1F"/>
    <w:rsid w:val="00514A51"/>
    <w:rsid w:val="005A70EE"/>
    <w:rsid w:val="007B3281"/>
    <w:rsid w:val="008C1EF5"/>
    <w:rsid w:val="00971792"/>
    <w:rsid w:val="00B54C0A"/>
    <w:rsid w:val="00E07DE4"/>
    <w:rsid w:val="00E660CB"/>
    <w:rsid w:val="00EE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DA6"/>
  <w15:chartTrackingRefBased/>
  <w15:docId w15:val="{41B7BD61-4F31-4765-B63F-5BE8E8D8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C1F"/>
    <w:rPr>
      <w:rFonts w:eastAsiaTheme="majorEastAsia" w:cstheme="majorBidi"/>
      <w:color w:val="272727" w:themeColor="text1" w:themeTint="D8"/>
    </w:rPr>
  </w:style>
  <w:style w:type="paragraph" w:styleId="Title">
    <w:name w:val="Title"/>
    <w:basedOn w:val="Normal"/>
    <w:next w:val="Normal"/>
    <w:link w:val="TitleChar"/>
    <w:uiPriority w:val="10"/>
    <w:qFormat/>
    <w:rsid w:val="003A2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C1F"/>
    <w:pPr>
      <w:spacing w:before="160"/>
      <w:jc w:val="center"/>
    </w:pPr>
    <w:rPr>
      <w:i/>
      <w:iCs/>
      <w:color w:val="404040" w:themeColor="text1" w:themeTint="BF"/>
    </w:rPr>
  </w:style>
  <w:style w:type="character" w:customStyle="1" w:styleId="QuoteChar">
    <w:name w:val="Quote Char"/>
    <w:basedOn w:val="DefaultParagraphFont"/>
    <w:link w:val="Quote"/>
    <w:uiPriority w:val="29"/>
    <w:rsid w:val="003A2C1F"/>
    <w:rPr>
      <w:i/>
      <w:iCs/>
      <w:color w:val="404040" w:themeColor="text1" w:themeTint="BF"/>
    </w:rPr>
  </w:style>
  <w:style w:type="paragraph" w:styleId="ListParagraph">
    <w:name w:val="List Paragraph"/>
    <w:basedOn w:val="Normal"/>
    <w:uiPriority w:val="34"/>
    <w:qFormat/>
    <w:rsid w:val="003A2C1F"/>
    <w:pPr>
      <w:ind w:left="720"/>
      <w:contextualSpacing/>
    </w:pPr>
  </w:style>
  <w:style w:type="character" w:styleId="IntenseEmphasis">
    <w:name w:val="Intense Emphasis"/>
    <w:basedOn w:val="DefaultParagraphFont"/>
    <w:uiPriority w:val="21"/>
    <w:qFormat/>
    <w:rsid w:val="003A2C1F"/>
    <w:rPr>
      <w:i/>
      <w:iCs/>
      <w:color w:val="0F4761" w:themeColor="accent1" w:themeShade="BF"/>
    </w:rPr>
  </w:style>
  <w:style w:type="paragraph" w:styleId="IntenseQuote">
    <w:name w:val="Intense Quote"/>
    <w:basedOn w:val="Normal"/>
    <w:next w:val="Normal"/>
    <w:link w:val="IntenseQuoteChar"/>
    <w:uiPriority w:val="30"/>
    <w:qFormat/>
    <w:rsid w:val="003A2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C1F"/>
    <w:rPr>
      <w:i/>
      <w:iCs/>
      <w:color w:val="0F4761" w:themeColor="accent1" w:themeShade="BF"/>
    </w:rPr>
  </w:style>
  <w:style w:type="character" w:styleId="IntenseReference">
    <w:name w:val="Intense Reference"/>
    <w:basedOn w:val="DefaultParagraphFont"/>
    <w:uiPriority w:val="32"/>
    <w:qFormat/>
    <w:rsid w:val="003A2C1F"/>
    <w:rPr>
      <w:b/>
      <w:bCs/>
      <w:smallCaps/>
      <w:color w:val="0F4761" w:themeColor="accent1" w:themeShade="BF"/>
      <w:spacing w:val="5"/>
    </w:rPr>
  </w:style>
  <w:style w:type="character" w:styleId="Hyperlink">
    <w:name w:val="Hyperlink"/>
    <w:basedOn w:val="DefaultParagraphFont"/>
    <w:uiPriority w:val="99"/>
    <w:unhideWhenUsed/>
    <w:rsid w:val="008C1EF5"/>
    <w:rPr>
      <w:color w:val="467886" w:themeColor="hyperlink"/>
      <w:u w:val="single"/>
    </w:rPr>
  </w:style>
  <w:style w:type="character" w:styleId="UnresolvedMention">
    <w:name w:val="Unresolved Mention"/>
    <w:basedOn w:val="DefaultParagraphFont"/>
    <w:uiPriority w:val="99"/>
    <w:semiHidden/>
    <w:unhideWhenUsed/>
    <w:rsid w:val="008C1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29842">
      <w:bodyDiv w:val="1"/>
      <w:marLeft w:val="0"/>
      <w:marRight w:val="0"/>
      <w:marTop w:val="0"/>
      <w:marBottom w:val="0"/>
      <w:divBdr>
        <w:top w:val="none" w:sz="0" w:space="0" w:color="auto"/>
        <w:left w:val="none" w:sz="0" w:space="0" w:color="auto"/>
        <w:bottom w:val="none" w:sz="0" w:space="0" w:color="auto"/>
        <w:right w:val="none" w:sz="0" w:space="0" w:color="auto"/>
      </w:divBdr>
    </w:div>
    <w:div w:id="265387330">
      <w:bodyDiv w:val="1"/>
      <w:marLeft w:val="0"/>
      <w:marRight w:val="0"/>
      <w:marTop w:val="0"/>
      <w:marBottom w:val="0"/>
      <w:divBdr>
        <w:top w:val="none" w:sz="0" w:space="0" w:color="auto"/>
        <w:left w:val="none" w:sz="0" w:space="0" w:color="auto"/>
        <w:bottom w:val="none" w:sz="0" w:space="0" w:color="auto"/>
        <w:right w:val="none" w:sz="0" w:space="0" w:color="auto"/>
      </w:divBdr>
    </w:div>
    <w:div w:id="1214736500">
      <w:bodyDiv w:val="1"/>
      <w:marLeft w:val="0"/>
      <w:marRight w:val="0"/>
      <w:marTop w:val="0"/>
      <w:marBottom w:val="0"/>
      <w:divBdr>
        <w:top w:val="none" w:sz="0" w:space="0" w:color="auto"/>
        <w:left w:val="none" w:sz="0" w:space="0" w:color="auto"/>
        <w:bottom w:val="none" w:sz="0" w:space="0" w:color="auto"/>
        <w:right w:val="none" w:sz="0" w:space="0" w:color="auto"/>
      </w:divBdr>
    </w:div>
    <w:div w:id="171641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hipaa/for-professionals/compliance-enforcement/audit/index.html" TargetMode="External"/><Relationship Id="rId3" Type="http://schemas.openxmlformats.org/officeDocument/2006/relationships/settings" Target="settings.xml"/><Relationship Id="rId7" Type="http://schemas.openxmlformats.org/officeDocument/2006/relationships/hyperlink" Target="https://www.ama-assn.org/practice-management/hipaa/hipaa-aud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paajournal.com/hipaa-audit-checklist/" TargetMode="External"/><Relationship Id="rId5" Type="http://schemas.openxmlformats.org/officeDocument/2006/relationships/hyperlink" Target="https://sprinto.com/blog/hipaa-compliance-au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8</cp:revision>
  <dcterms:created xsi:type="dcterms:W3CDTF">2025-01-14T04:03:00Z</dcterms:created>
  <dcterms:modified xsi:type="dcterms:W3CDTF">2025-02-04T12:44:00Z</dcterms:modified>
</cp:coreProperties>
</file>