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A7916D" w14:textId="0C894709" w:rsidR="000F4462" w:rsidRDefault="008F5171">
      <w:r w:rsidRPr="008F5171">
        <w:t>Topic 3 Discussion 1</w:t>
      </w:r>
    </w:p>
    <w:p w14:paraId="35768195" w14:textId="2652B765" w:rsidR="008F5171" w:rsidRDefault="008F5171">
      <w:r w:rsidRPr="008F5171">
        <w:t>Operating a global company can have its challenges, especially complying with many laws and regulations across the globe. There are the Sarbanes–Oxley Act of 2002, the Markets in Financial Instruments Directive (MiFID) II, the General Data Protection Regulation (GDPR), the Fundamental Review of the Trading Book (FRTB), and the Australian Corporations Act 2001, to name a few. Discuss what approaches a company with cross-border operations can take to be compliant with mandates from national and international laws and regulations that relate to the protection against cyberattacks.</w:t>
      </w:r>
    </w:p>
    <w:p w14:paraId="3860AB73" w14:textId="2B512317" w:rsidR="009230E5" w:rsidRPr="001C3602" w:rsidRDefault="009230E5">
      <w:pPr>
        <w:rPr>
          <w:rFonts w:ascii="Times New Roman" w:hAnsi="Times New Roman" w:cs="Times New Roman"/>
          <w:sz w:val="24"/>
          <w:szCs w:val="24"/>
        </w:rPr>
      </w:pPr>
      <w:r w:rsidRPr="001C3602">
        <w:rPr>
          <w:rFonts w:ascii="Times New Roman" w:hAnsi="Times New Roman" w:cs="Times New Roman"/>
          <w:sz w:val="24"/>
          <w:szCs w:val="24"/>
        </w:rPr>
        <w:t>Hello Class,</w:t>
      </w:r>
    </w:p>
    <w:p w14:paraId="5CB9A38E" w14:textId="7EB7A4C9" w:rsidR="009230E5" w:rsidRPr="009230E5" w:rsidRDefault="009230E5" w:rsidP="001C3602">
      <w:pPr>
        <w:ind w:firstLine="720"/>
        <w:rPr>
          <w:rFonts w:ascii="Times New Roman" w:hAnsi="Times New Roman" w:cs="Times New Roman"/>
          <w:sz w:val="24"/>
          <w:szCs w:val="24"/>
        </w:rPr>
      </w:pPr>
      <w:r w:rsidRPr="009230E5">
        <w:rPr>
          <w:rFonts w:ascii="Times New Roman" w:hAnsi="Times New Roman" w:cs="Times New Roman"/>
          <w:sz w:val="24"/>
          <w:szCs w:val="24"/>
        </w:rPr>
        <w:t>While the GDPR is a great starting point, it's important to remember that other laws and regulations may apply depending on the specific context. For example, the Sarbanes–Oxley Act of 2002, the Markets in Financial Instruments Directive (MiFID) II, the Fundamental Review of the Trading Book (FRTB), and the Australian Corporations Act 2001 all have provisions related to cybersecurity</w:t>
      </w:r>
      <w:r w:rsidR="001C3602" w:rsidRPr="001C3602">
        <w:rPr>
          <w:rFonts w:ascii="Times New Roman" w:hAnsi="Times New Roman" w:cs="Times New Roman"/>
          <w:sz w:val="24"/>
          <w:szCs w:val="24"/>
        </w:rPr>
        <w:t>(Team, 2025)</w:t>
      </w:r>
      <w:r w:rsidRPr="009230E5">
        <w:rPr>
          <w:rFonts w:ascii="Times New Roman" w:hAnsi="Times New Roman" w:cs="Times New Roman"/>
          <w:sz w:val="24"/>
          <w:szCs w:val="24"/>
        </w:rPr>
        <w:t>.</w:t>
      </w:r>
    </w:p>
    <w:p w14:paraId="382CE51A" w14:textId="416A98B2" w:rsidR="00D4635E" w:rsidRPr="00D4635E" w:rsidRDefault="00D4635E" w:rsidP="001C3602">
      <w:pPr>
        <w:ind w:firstLine="720"/>
        <w:rPr>
          <w:rFonts w:ascii="Times New Roman" w:hAnsi="Times New Roman" w:cs="Times New Roman"/>
          <w:sz w:val="24"/>
          <w:szCs w:val="24"/>
        </w:rPr>
      </w:pPr>
      <w:r w:rsidRPr="00D4635E">
        <w:rPr>
          <w:rFonts w:ascii="Times New Roman" w:hAnsi="Times New Roman" w:cs="Times New Roman"/>
          <w:sz w:val="24"/>
          <w:szCs w:val="24"/>
        </w:rPr>
        <w:t>Navigating the landscape of national and international laws regarding cybersecurity can be quite challenging for companies with cross-border operations. To ensure compliance and protect against cyberattacks, organizations can adopt several strategic approaches:</w:t>
      </w:r>
    </w:p>
    <w:p w14:paraId="2D5DFAB3" w14:textId="7EC4C84F" w:rsidR="00D4635E" w:rsidRPr="00D4635E" w:rsidRDefault="00D4635E" w:rsidP="00D4635E">
      <w:pPr>
        <w:rPr>
          <w:rFonts w:ascii="Times New Roman" w:hAnsi="Times New Roman" w:cs="Times New Roman"/>
          <w:sz w:val="24"/>
          <w:szCs w:val="24"/>
        </w:rPr>
      </w:pPr>
      <w:r w:rsidRPr="00D4635E">
        <w:rPr>
          <w:rFonts w:ascii="Times New Roman" w:hAnsi="Times New Roman" w:cs="Times New Roman"/>
          <w:sz w:val="24"/>
          <w:szCs w:val="24"/>
        </w:rPr>
        <w:t>Restructuring Data Policies</w:t>
      </w:r>
      <w:r w:rsidR="001C3602" w:rsidRPr="001C3602">
        <w:rPr>
          <w:rFonts w:ascii="Times New Roman" w:hAnsi="Times New Roman" w:cs="Times New Roman"/>
          <w:sz w:val="24"/>
          <w:szCs w:val="24"/>
        </w:rPr>
        <w:t xml:space="preserve"> -</w:t>
      </w:r>
      <w:r w:rsidRPr="00D4635E">
        <w:rPr>
          <w:rFonts w:ascii="Times New Roman" w:hAnsi="Times New Roman" w:cs="Times New Roman"/>
          <w:sz w:val="24"/>
          <w:szCs w:val="24"/>
        </w:rPr>
        <w:t xml:space="preserve"> Companies should develop comprehensive data governance frameworks that align with the specific legal requirements of each jurisdiction they operate in</w:t>
      </w:r>
      <w:r w:rsidR="001C3602" w:rsidRPr="001C3602">
        <w:rPr>
          <w:rFonts w:ascii="Times New Roman" w:hAnsi="Times New Roman" w:cs="Times New Roman"/>
          <w:sz w:val="24"/>
          <w:szCs w:val="24"/>
        </w:rPr>
        <w:t>(</w:t>
      </w:r>
      <w:proofErr w:type="spellStart"/>
      <w:r w:rsidR="001C3602" w:rsidRPr="001C3602">
        <w:rPr>
          <w:rFonts w:ascii="Times New Roman" w:hAnsi="Times New Roman" w:cs="Times New Roman"/>
          <w:sz w:val="24"/>
          <w:szCs w:val="24"/>
        </w:rPr>
        <w:t>Fourrage</w:t>
      </w:r>
      <w:proofErr w:type="spellEnd"/>
      <w:r w:rsidR="001C3602" w:rsidRPr="001C3602">
        <w:rPr>
          <w:rFonts w:ascii="Times New Roman" w:hAnsi="Times New Roman" w:cs="Times New Roman"/>
          <w:sz w:val="24"/>
          <w:szCs w:val="24"/>
        </w:rPr>
        <w:t>, 2024)</w:t>
      </w:r>
      <w:r w:rsidRPr="00D4635E">
        <w:rPr>
          <w:rFonts w:ascii="Times New Roman" w:hAnsi="Times New Roman" w:cs="Times New Roman"/>
          <w:sz w:val="24"/>
          <w:szCs w:val="24"/>
        </w:rPr>
        <w:t>. This includes understanding local data protection laws, such as the General Data Protection Regulation (GDPR) in </w:t>
      </w:r>
      <w:proofErr w:type="gramStart"/>
      <w:r w:rsidRPr="00D4635E">
        <w:rPr>
          <w:rFonts w:ascii="Times New Roman" w:hAnsi="Times New Roman" w:cs="Times New Roman"/>
          <w:sz w:val="24"/>
          <w:szCs w:val="24"/>
        </w:rPr>
        <w:t>Europe, and</w:t>
      </w:r>
      <w:proofErr w:type="gramEnd"/>
      <w:r w:rsidRPr="00D4635E">
        <w:rPr>
          <w:rFonts w:ascii="Times New Roman" w:hAnsi="Times New Roman" w:cs="Times New Roman"/>
          <w:sz w:val="24"/>
          <w:szCs w:val="24"/>
        </w:rPr>
        <w:t xml:space="preserve"> adapting policies accordingly.</w:t>
      </w:r>
    </w:p>
    <w:p w14:paraId="09678038" w14:textId="755B0FED" w:rsidR="00D4635E" w:rsidRPr="00D4635E" w:rsidRDefault="00D4635E" w:rsidP="00D4635E">
      <w:pPr>
        <w:rPr>
          <w:rFonts w:ascii="Times New Roman" w:hAnsi="Times New Roman" w:cs="Times New Roman"/>
          <w:sz w:val="24"/>
          <w:szCs w:val="24"/>
        </w:rPr>
      </w:pPr>
      <w:r w:rsidRPr="00D4635E">
        <w:rPr>
          <w:rFonts w:ascii="Times New Roman" w:hAnsi="Times New Roman" w:cs="Times New Roman"/>
          <w:sz w:val="24"/>
          <w:szCs w:val="24"/>
        </w:rPr>
        <w:t>Implementing Security Protocols</w:t>
      </w:r>
      <w:r w:rsidR="001C3602" w:rsidRPr="001C3602">
        <w:rPr>
          <w:rFonts w:ascii="Times New Roman" w:hAnsi="Times New Roman" w:cs="Times New Roman"/>
          <w:sz w:val="24"/>
          <w:szCs w:val="24"/>
        </w:rPr>
        <w:t xml:space="preserve"> -</w:t>
      </w:r>
      <w:r w:rsidRPr="00D4635E">
        <w:rPr>
          <w:rFonts w:ascii="Times New Roman" w:hAnsi="Times New Roman" w:cs="Times New Roman"/>
          <w:sz w:val="24"/>
          <w:szCs w:val="24"/>
        </w:rPr>
        <w:t xml:space="preserve"> Adopting robust cybersecurity measures is essential. This can involve implementing multi-tiered security protocols that are flexible enough to meet varying regulatory standards across different regions</w:t>
      </w:r>
      <w:r w:rsidR="001C3602" w:rsidRPr="001C3602">
        <w:rPr>
          <w:rFonts w:ascii="Times New Roman" w:hAnsi="Times New Roman" w:cs="Times New Roman"/>
          <w:sz w:val="24"/>
          <w:szCs w:val="24"/>
        </w:rPr>
        <w:t>(Sage, 2020)</w:t>
      </w:r>
      <w:r w:rsidRPr="00D4635E">
        <w:rPr>
          <w:rFonts w:ascii="Times New Roman" w:hAnsi="Times New Roman" w:cs="Times New Roman"/>
          <w:sz w:val="24"/>
          <w:szCs w:val="24"/>
        </w:rPr>
        <w:t>. For instance, using encryption and secure access controls can help safeguard sensitive data.</w:t>
      </w:r>
    </w:p>
    <w:p w14:paraId="62AE99FE" w14:textId="3FCE4823" w:rsidR="00D4635E" w:rsidRPr="00D4635E" w:rsidRDefault="00D4635E" w:rsidP="00D4635E">
      <w:pPr>
        <w:rPr>
          <w:rFonts w:ascii="Times New Roman" w:hAnsi="Times New Roman" w:cs="Times New Roman"/>
          <w:sz w:val="24"/>
          <w:szCs w:val="24"/>
        </w:rPr>
      </w:pPr>
      <w:r w:rsidRPr="00D4635E">
        <w:rPr>
          <w:rFonts w:ascii="Times New Roman" w:hAnsi="Times New Roman" w:cs="Times New Roman"/>
          <w:sz w:val="24"/>
          <w:szCs w:val="24"/>
        </w:rPr>
        <w:t>Training and Awareness Programs</w:t>
      </w:r>
      <w:r w:rsidR="001C3602" w:rsidRPr="001C3602">
        <w:rPr>
          <w:rFonts w:ascii="Times New Roman" w:hAnsi="Times New Roman" w:cs="Times New Roman"/>
          <w:sz w:val="24"/>
          <w:szCs w:val="24"/>
        </w:rPr>
        <w:t xml:space="preserve"> -</w:t>
      </w:r>
      <w:r w:rsidRPr="00D4635E">
        <w:rPr>
          <w:rFonts w:ascii="Times New Roman" w:hAnsi="Times New Roman" w:cs="Times New Roman"/>
          <w:sz w:val="24"/>
          <w:szCs w:val="24"/>
        </w:rPr>
        <w:t xml:space="preserve"> Regular training for employees on cybersecurity best practices and legal obligations is crucial</w:t>
      </w:r>
      <w:r w:rsidR="001C3602" w:rsidRPr="001C3602">
        <w:rPr>
          <w:rFonts w:ascii="Times New Roman" w:hAnsi="Times New Roman" w:cs="Times New Roman"/>
          <w:sz w:val="24"/>
          <w:szCs w:val="24"/>
        </w:rPr>
        <w:t>(Hall, 2024)</w:t>
      </w:r>
      <w:r w:rsidRPr="00D4635E">
        <w:rPr>
          <w:rFonts w:ascii="Times New Roman" w:hAnsi="Times New Roman" w:cs="Times New Roman"/>
          <w:sz w:val="24"/>
          <w:szCs w:val="24"/>
        </w:rPr>
        <w:t>. This not only helps in fostering a culture of security but also ensures that staff are aware of the specific compliance requirements relevant to their roles.</w:t>
      </w:r>
    </w:p>
    <w:p w14:paraId="5F568135" w14:textId="076419B8" w:rsidR="00D4635E" w:rsidRPr="00D4635E" w:rsidRDefault="00D4635E" w:rsidP="00D4635E">
      <w:pPr>
        <w:rPr>
          <w:rFonts w:ascii="Times New Roman" w:hAnsi="Times New Roman" w:cs="Times New Roman"/>
          <w:sz w:val="24"/>
          <w:szCs w:val="24"/>
        </w:rPr>
      </w:pPr>
      <w:r w:rsidRPr="00D4635E">
        <w:rPr>
          <w:rFonts w:ascii="Times New Roman" w:hAnsi="Times New Roman" w:cs="Times New Roman"/>
          <w:sz w:val="24"/>
          <w:szCs w:val="24"/>
        </w:rPr>
        <w:t>Increasing Transparency and Responsibility</w:t>
      </w:r>
      <w:r w:rsidR="001C3602" w:rsidRPr="001C3602">
        <w:rPr>
          <w:rFonts w:ascii="Times New Roman" w:hAnsi="Times New Roman" w:cs="Times New Roman"/>
          <w:sz w:val="24"/>
          <w:szCs w:val="24"/>
        </w:rPr>
        <w:t xml:space="preserve"> -</w:t>
      </w:r>
      <w:r w:rsidRPr="00D4635E">
        <w:rPr>
          <w:rFonts w:ascii="Times New Roman" w:hAnsi="Times New Roman" w:cs="Times New Roman"/>
          <w:sz w:val="24"/>
          <w:szCs w:val="24"/>
        </w:rPr>
        <w:t xml:space="preserve"> Companies should enhance transparency in their operations, particularly regarding data handling and incident response. Establishing clear accountability structures can help in managing compliance effectively.</w:t>
      </w:r>
    </w:p>
    <w:p w14:paraId="14A7C997" w14:textId="794605D1" w:rsidR="00D4635E" w:rsidRPr="00D4635E" w:rsidRDefault="00D4635E" w:rsidP="00D4635E">
      <w:pPr>
        <w:rPr>
          <w:rFonts w:ascii="Times New Roman" w:hAnsi="Times New Roman" w:cs="Times New Roman"/>
          <w:sz w:val="24"/>
          <w:szCs w:val="24"/>
        </w:rPr>
      </w:pPr>
      <w:r w:rsidRPr="00D4635E">
        <w:rPr>
          <w:rFonts w:ascii="Times New Roman" w:hAnsi="Times New Roman" w:cs="Times New Roman"/>
          <w:sz w:val="24"/>
          <w:szCs w:val="24"/>
        </w:rPr>
        <w:t>Cross-Border Data Transfers</w:t>
      </w:r>
      <w:r w:rsidR="001C3602" w:rsidRPr="001C3602">
        <w:rPr>
          <w:rFonts w:ascii="Times New Roman" w:hAnsi="Times New Roman" w:cs="Times New Roman"/>
          <w:sz w:val="24"/>
          <w:szCs w:val="24"/>
        </w:rPr>
        <w:t xml:space="preserve"> -</w:t>
      </w:r>
      <w:r w:rsidRPr="00D4635E">
        <w:rPr>
          <w:rFonts w:ascii="Times New Roman" w:hAnsi="Times New Roman" w:cs="Times New Roman"/>
          <w:sz w:val="24"/>
          <w:szCs w:val="24"/>
        </w:rPr>
        <w:t xml:space="preserve"> Understanding the regulations surrounding cross-border data transfers is vital. Companies should ensure that they have the necessary safeguards in place, such as Standard Contractual Clauses (SCCs) or Binding Corporate Rules (BCRs), to facilitate legal data transfers while maintaining compliance</w:t>
      </w:r>
      <w:r w:rsidR="001C3602" w:rsidRPr="001C3602">
        <w:rPr>
          <w:rFonts w:ascii="Times New Roman" w:hAnsi="Times New Roman" w:cs="Times New Roman"/>
          <w:sz w:val="24"/>
          <w:szCs w:val="24"/>
        </w:rPr>
        <w:t>(Global Data Alliance, 2023)</w:t>
      </w:r>
      <w:r w:rsidRPr="00D4635E">
        <w:rPr>
          <w:rFonts w:ascii="Times New Roman" w:hAnsi="Times New Roman" w:cs="Times New Roman"/>
          <w:sz w:val="24"/>
          <w:szCs w:val="24"/>
        </w:rPr>
        <w:t>.</w:t>
      </w:r>
    </w:p>
    <w:p w14:paraId="03ED5896" w14:textId="382F4E97" w:rsidR="00D4635E" w:rsidRPr="00D4635E" w:rsidRDefault="00D4635E" w:rsidP="00D4635E">
      <w:pPr>
        <w:rPr>
          <w:rFonts w:ascii="Times New Roman" w:hAnsi="Times New Roman" w:cs="Times New Roman"/>
          <w:sz w:val="24"/>
          <w:szCs w:val="24"/>
        </w:rPr>
      </w:pPr>
      <w:r w:rsidRPr="00D4635E">
        <w:rPr>
          <w:rFonts w:ascii="Times New Roman" w:hAnsi="Times New Roman" w:cs="Times New Roman"/>
          <w:sz w:val="24"/>
          <w:szCs w:val="24"/>
        </w:rPr>
        <w:lastRenderedPageBreak/>
        <w:t>Collaboration and Information Sharing</w:t>
      </w:r>
      <w:r w:rsidR="001C3602" w:rsidRPr="001C3602">
        <w:rPr>
          <w:rFonts w:ascii="Times New Roman" w:hAnsi="Times New Roman" w:cs="Times New Roman"/>
          <w:sz w:val="24"/>
          <w:szCs w:val="24"/>
        </w:rPr>
        <w:t xml:space="preserve"> -</w:t>
      </w:r>
      <w:r w:rsidRPr="00D4635E">
        <w:rPr>
          <w:rFonts w:ascii="Times New Roman" w:hAnsi="Times New Roman" w:cs="Times New Roman"/>
          <w:sz w:val="24"/>
          <w:szCs w:val="24"/>
        </w:rPr>
        <w:t xml:space="preserve"> Engaging in partnerships with other organizations and participating in industry forums can provide valuable insights into best practices and emerging threats. This collaborative approach can enhance overall cybersecurity resilience.</w:t>
      </w:r>
    </w:p>
    <w:p w14:paraId="5F0A86E8" w14:textId="5E97CE2E" w:rsidR="009230E5" w:rsidRPr="001C3602" w:rsidRDefault="00D4635E" w:rsidP="00D4635E">
      <w:pPr>
        <w:rPr>
          <w:rFonts w:ascii="Times New Roman" w:hAnsi="Times New Roman" w:cs="Times New Roman"/>
          <w:sz w:val="24"/>
          <w:szCs w:val="24"/>
        </w:rPr>
      </w:pPr>
      <w:r w:rsidRPr="001C3602">
        <w:rPr>
          <w:rFonts w:ascii="Times New Roman" w:hAnsi="Times New Roman" w:cs="Times New Roman"/>
          <w:sz w:val="24"/>
          <w:szCs w:val="24"/>
        </w:rPr>
        <w:t>References:</w:t>
      </w:r>
    </w:p>
    <w:p w14:paraId="1830996B" w14:textId="77777777" w:rsidR="004C3F47" w:rsidRPr="004C3F47" w:rsidRDefault="004C3F47" w:rsidP="004C3F47">
      <w:pPr>
        <w:rPr>
          <w:rFonts w:ascii="Times New Roman" w:hAnsi="Times New Roman" w:cs="Times New Roman"/>
          <w:sz w:val="24"/>
          <w:szCs w:val="24"/>
        </w:rPr>
      </w:pPr>
      <w:r w:rsidRPr="004C3F47">
        <w:rPr>
          <w:rFonts w:ascii="Times New Roman" w:hAnsi="Times New Roman" w:cs="Times New Roman"/>
          <w:i/>
          <w:iCs/>
          <w:sz w:val="24"/>
          <w:szCs w:val="24"/>
        </w:rPr>
        <w:t>Cross-Border Data Transfers &amp; Cybersecurity - Global Data Alliance</w:t>
      </w:r>
      <w:r w:rsidRPr="004C3F47">
        <w:rPr>
          <w:rFonts w:ascii="Times New Roman" w:hAnsi="Times New Roman" w:cs="Times New Roman"/>
          <w:sz w:val="24"/>
          <w:szCs w:val="24"/>
        </w:rPr>
        <w:t>. (2023, February 9). Global Data Alliance. https://globaldataalliance.org/issues/cybersecurity/</w:t>
      </w:r>
    </w:p>
    <w:p w14:paraId="1B7A4B0E" w14:textId="77777777" w:rsidR="004C3F47" w:rsidRPr="004C3F47" w:rsidRDefault="004C3F47" w:rsidP="004C3F47">
      <w:pPr>
        <w:rPr>
          <w:rFonts w:ascii="Times New Roman" w:hAnsi="Times New Roman" w:cs="Times New Roman"/>
          <w:sz w:val="24"/>
          <w:szCs w:val="24"/>
        </w:rPr>
      </w:pPr>
      <w:proofErr w:type="spellStart"/>
      <w:r w:rsidRPr="004C3F47">
        <w:rPr>
          <w:rFonts w:ascii="Times New Roman" w:hAnsi="Times New Roman" w:cs="Times New Roman"/>
          <w:sz w:val="24"/>
          <w:szCs w:val="24"/>
        </w:rPr>
        <w:t>Fourrage</w:t>
      </w:r>
      <w:proofErr w:type="spellEnd"/>
      <w:r w:rsidRPr="004C3F47">
        <w:rPr>
          <w:rFonts w:ascii="Times New Roman" w:hAnsi="Times New Roman" w:cs="Times New Roman"/>
          <w:sz w:val="24"/>
          <w:szCs w:val="24"/>
        </w:rPr>
        <w:t xml:space="preserve">, L. (2024). </w:t>
      </w:r>
      <w:r w:rsidRPr="004C3F47">
        <w:rPr>
          <w:rFonts w:ascii="Times New Roman" w:hAnsi="Times New Roman" w:cs="Times New Roman"/>
          <w:i/>
          <w:iCs/>
          <w:sz w:val="24"/>
          <w:szCs w:val="24"/>
        </w:rPr>
        <w:t>FAQ for How do international cybersecurity laws impact businesses?</w:t>
      </w:r>
      <w:r w:rsidRPr="004C3F47">
        <w:rPr>
          <w:rFonts w:ascii="Times New Roman" w:hAnsi="Times New Roman" w:cs="Times New Roman"/>
          <w:sz w:val="24"/>
          <w:szCs w:val="24"/>
        </w:rPr>
        <w:t xml:space="preserve"> </w:t>
      </w:r>
      <w:proofErr w:type="spellStart"/>
      <w:r w:rsidRPr="004C3F47">
        <w:rPr>
          <w:rFonts w:ascii="Times New Roman" w:hAnsi="Times New Roman" w:cs="Times New Roman"/>
          <w:sz w:val="24"/>
          <w:szCs w:val="24"/>
        </w:rPr>
        <w:t>Nucamp</w:t>
      </w:r>
      <w:proofErr w:type="spellEnd"/>
      <w:r w:rsidRPr="004C3F47">
        <w:rPr>
          <w:rFonts w:ascii="Times New Roman" w:hAnsi="Times New Roman" w:cs="Times New Roman"/>
          <w:sz w:val="24"/>
          <w:szCs w:val="24"/>
        </w:rPr>
        <w:t>. https://www.nucamp.co/blog/coding-bootcamp-cybersecurity-how-do-international-cybersecurity-laws-impact-businesses</w:t>
      </w:r>
    </w:p>
    <w:p w14:paraId="3D9E1FDE" w14:textId="77777777" w:rsidR="004C3F47" w:rsidRPr="004C3F47" w:rsidRDefault="004C3F47" w:rsidP="004C3F47">
      <w:pPr>
        <w:rPr>
          <w:rFonts w:ascii="Times New Roman" w:hAnsi="Times New Roman" w:cs="Times New Roman"/>
          <w:sz w:val="24"/>
          <w:szCs w:val="24"/>
        </w:rPr>
      </w:pPr>
      <w:r w:rsidRPr="004C3F47">
        <w:rPr>
          <w:rFonts w:ascii="Times New Roman" w:hAnsi="Times New Roman" w:cs="Times New Roman"/>
          <w:sz w:val="24"/>
          <w:szCs w:val="24"/>
        </w:rPr>
        <w:t xml:space="preserve">Hall, P. (2024, August 7). </w:t>
      </w:r>
      <w:r w:rsidRPr="004C3F47">
        <w:rPr>
          <w:rFonts w:ascii="Times New Roman" w:hAnsi="Times New Roman" w:cs="Times New Roman"/>
          <w:i/>
          <w:iCs/>
          <w:sz w:val="24"/>
          <w:szCs w:val="24"/>
        </w:rPr>
        <w:t xml:space="preserve">Navigating Cross-Border E-commerce Cybersecurity Challenges - </w:t>
      </w:r>
      <w:proofErr w:type="spellStart"/>
      <w:r w:rsidRPr="004C3F47">
        <w:rPr>
          <w:rFonts w:ascii="Times New Roman" w:hAnsi="Times New Roman" w:cs="Times New Roman"/>
          <w:i/>
          <w:iCs/>
          <w:sz w:val="24"/>
          <w:szCs w:val="24"/>
        </w:rPr>
        <w:t>Secarma</w:t>
      </w:r>
      <w:proofErr w:type="spellEnd"/>
      <w:r w:rsidRPr="004C3F47">
        <w:rPr>
          <w:rFonts w:ascii="Times New Roman" w:hAnsi="Times New Roman" w:cs="Times New Roman"/>
          <w:i/>
          <w:iCs/>
          <w:sz w:val="24"/>
          <w:szCs w:val="24"/>
        </w:rPr>
        <w:t xml:space="preserve"> Website</w:t>
      </w:r>
      <w:r w:rsidRPr="004C3F47">
        <w:rPr>
          <w:rFonts w:ascii="Times New Roman" w:hAnsi="Times New Roman" w:cs="Times New Roman"/>
          <w:sz w:val="24"/>
          <w:szCs w:val="24"/>
        </w:rPr>
        <w:t xml:space="preserve">. </w:t>
      </w:r>
      <w:proofErr w:type="spellStart"/>
      <w:r w:rsidRPr="004C3F47">
        <w:rPr>
          <w:rFonts w:ascii="Times New Roman" w:hAnsi="Times New Roman" w:cs="Times New Roman"/>
          <w:sz w:val="24"/>
          <w:szCs w:val="24"/>
        </w:rPr>
        <w:t>Secarma</w:t>
      </w:r>
      <w:proofErr w:type="spellEnd"/>
      <w:r w:rsidRPr="004C3F47">
        <w:rPr>
          <w:rFonts w:ascii="Times New Roman" w:hAnsi="Times New Roman" w:cs="Times New Roman"/>
          <w:sz w:val="24"/>
          <w:szCs w:val="24"/>
        </w:rPr>
        <w:t xml:space="preserve"> Ltd. https://secarma.com/cross-border-e-commerce-cybersecurity-challenges</w:t>
      </w:r>
    </w:p>
    <w:p w14:paraId="763961EF" w14:textId="77777777" w:rsidR="004C3F47" w:rsidRPr="004C3F47" w:rsidRDefault="004C3F47" w:rsidP="004C3F47">
      <w:pPr>
        <w:rPr>
          <w:rFonts w:ascii="Times New Roman" w:hAnsi="Times New Roman" w:cs="Times New Roman"/>
          <w:sz w:val="24"/>
          <w:szCs w:val="24"/>
        </w:rPr>
      </w:pPr>
      <w:r w:rsidRPr="004C3F47">
        <w:rPr>
          <w:rFonts w:ascii="Times New Roman" w:hAnsi="Times New Roman" w:cs="Times New Roman"/>
          <w:sz w:val="24"/>
          <w:szCs w:val="24"/>
        </w:rPr>
        <w:t xml:space="preserve">Sage, J. (2020, November 11). </w:t>
      </w:r>
      <w:r w:rsidRPr="004C3F47">
        <w:rPr>
          <w:rFonts w:ascii="Times New Roman" w:hAnsi="Times New Roman" w:cs="Times New Roman"/>
          <w:i/>
          <w:iCs/>
          <w:sz w:val="24"/>
          <w:szCs w:val="24"/>
        </w:rPr>
        <w:t>To combat cross-border cyber threats, cooperation is key</w:t>
      </w:r>
      <w:r w:rsidRPr="004C3F47">
        <w:rPr>
          <w:rFonts w:ascii="Times New Roman" w:hAnsi="Times New Roman" w:cs="Times New Roman"/>
          <w:sz w:val="24"/>
          <w:szCs w:val="24"/>
        </w:rPr>
        <w:t>. IBM Policy. https://www.ibm.com/policy/to-combat-cross-border-cyber-threats-cooperation-is-key/</w:t>
      </w:r>
    </w:p>
    <w:p w14:paraId="126F094F" w14:textId="77777777" w:rsidR="004C3F47" w:rsidRPr="004C3F47" w:rsidRDefault="004C3F47" w:rsidP="004C3F47">
      <w:pPr>
        <w:rPr>
          <w:rFonts w:ascii="Times New Roman" w:hAnsi="Times New Roman" w:cs="Times New Roman"/>
          <w:sz w:val="24"/>
          <w:szCs w:val="24"/>
        </w:rPr>
      </w:pPr>
      <w:r w:rsidRPr="004C3F47">
        <w:rPr>
          <w:rFonts w:ascii="Times New Roman" w:hAnsi="Times New Roman" w:cs="Times New Roman"/>
          <w:sz w:val="24"/>
          <w:szCs w:val="24"/>
        </w:rPr>
        <w:t xml:space="preserve">Team, T. A. (2025, February 8). </w:t>
      </w:r>
      <w:r w:rsidRPr="004C3F47">
        <w:rPr>
          <w:rFonts w:ascii="Times New Roman" w:hAnsi="Times New Roman" w:cs="Times New Roman"/>
          <w:i/>
          <w:iCs/>
          <w:sz w:val="24"/>
          <w:szCs w:val="24"/>
        </w:rPr>
        <w:t>Cybersecurity Compliance: The Complete Guide for Businesses</w:t>
      </w:r>
      <w:r w:rsidRPr="004C3F47">
        <w:rPr>
          <w:rFonts w:ascii="Times New Roman" w:hAnsi="Times New Roman" w:cs="Times New Roman"/>
          <w:sz w:val="24"/>
          <w:szCs w:val="24"/>
        </w:rPr>
        <w:t xml:space="preserve">. </w:t>
      </w:r>
      <w:proofErr w:type="gramStart"/>
      <w:r w:rsidRPr="004C3F47">
        <w:rPr>
          <w:rFonts w:ascii="Times New Roman" w:hAnsi="Times New Roman" w:cs="Times New Roman"/>
          <w:sz w:val="24"/>
          <w:szCs w:val="24"/>
        </w:rPr>
        <w:t>Atlassystems.com</w:t>
      </w:r>
      <w:proofErr w:type="gramEnd"/>
      <w:r w:rsidRPr="004C3F47">
        <w:rPr>
          <w:rFonts w:ascii="Times New Roman" w:hAnsi="Times New Roman" w:cs="Times New Roman"/>
          <w:sz w:val="24"/>
          <w:szCs w:val="24"/>
        </w:rPr>
        <w:t>; Atlas Systems. https://www.atlassystems.com/blog/cybersecurity-compliance</w:t>
      </w:r>
    </w:p>
    <w:p w14:paraId="6C131C82" w14:textId="77777777" w:rsidR="00D4635E" w:rsidRPr="00D4635E" w:rsidRDefault="00D4635E" w:rsidP="00D4635E">
      <w:pPr>
        <w:rPr>
          <w:rFonts w:ascii="Times New Roman" w:hAnsi="Times New Roman" w:cs="Times New Roman"/>
          <w:sz w:val="24"/>
          <w:szCs w:val="24"/>
        </w:rPr>
      </w:pPr>
    </w:p>
    <w:sectPr w:rsidR="00D4635E" w:rsidRPr="00D46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D5A90"/>
    <w:multiLevelType w:val="multilevel"/>
    <w:tmpl w:val="3A40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825066"/>
    <w:multiLevelType w:val="multilevel"/>
    <w:tmpl w:val="31504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5964801">
    <w:abstractNumId w:val="0"/>
  </w:num>
  <w:num w:numId="2" w16cid:durableId="1281493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5AE"/>
    <w:rsid w:val="000F4462"/>
    <w:rsid w:val="001646E4"/>
    <w:rsid w:val="001C3602"/>
    <w:rsid w:val="002B1ADF"/>
    <w:rsid w:val="004C3F47"/>
    <w:rsid w:val="004E3DF3"/>
    <w:rsid w:val="007B3281"/>
    <w:rsid w:val="008275AE"/>
    <w:rsid w:val="008F5171"/>
    <w:rsid w:val="009230E5"/>
    <w:rsid w:val="00D4635E"/>
    <w:rsid w:val="00D5298D"/>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6E90F"/>
  <w15:chartTrackingRefBased/>
  <w15:docId w15:val="{4125B066-DF36-4FFF-913E-E4EF8FC5D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5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75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75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75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75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75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5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5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5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5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75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75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75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75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75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5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5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5AE"/>
    <w:rPr>
      <w:rFonts w:eastAsiaTheme="majorEastAsia" w:cstheme="majorBidi"/>
      <w:color w:val="272727" w:themeColor="text1" w:themeTint="D8"/>
    </w:rPr>
  </w:style>
  <w:style w:type="paragraph" w:styleId="Title">
    <w:name w:val="Title"/>
    <w:basedOn w:val="Normal"/>
    <w:next w:val="Normal"/>
    <w:link w:val="TitleChar"/>
    <w:uiPriority w:val="10"/>
    <w:qFormat/>
    <w:rsid w:val="008275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5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5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5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5AE"/>
    <w:pPr>
      <w:spacing w:before="160"/>
      <w:jc w:val="center"/>
    </w:pPr>
    <w:rPr>
      <w:i/>
      <w:iCs/>
      <w:color w:val="404040" w:themeColor="text1" w:themeTint="BF"/>
    </w:rPr>
  </w:style>
  <w:style w:type="character" w:customStyle="1" w:styleId="QuoteChar">
    <w:name w:val="Quote Char"/>
    <w:basedOn w:val="DefaultParagraphFont"/>
    <w:link w:val="Quote"/>
    <w:uiPriority w:val="29"/>
    <w:rsid w:val="008275AE"/>
    <w:rPr>
      <w:i/>
      <w:iCs/>
      <w:color w:val="404040" w:themeColor="text1" w:themeTint="BF"/>
    </w:rPr>
  </w:style>
  <w:style w:type="paragraph" w:styleId="ListParagraph">
    <w:name w:val="List Paragraph"/>
    <w:basedOn w:val="Normal"/>
    <w:uiPriority w:val="34"/>
    <w:qFormat/>
    <w:rsid w:val="008275AE"/>
    <w:pPr>
      <w:ind w:left="720"/>
      <w:contextualSpacing/>
    </w:pPr>
  </w:style>
  <w:style w:type="character" w:styleId="IntenseEmphasis">
    <w:name w:val="Intense Emphasis"/>
    <w:basedOn w:val="DefaultParagraphFont"/>
    <w:uiPriority w:val="21"/>
    <w:qFormat/>
    <w:rsid w:val="008275AE"/>
    <w:rPr>
      <w:i/>
      <w:iCs/>
      <w:color w:val="0F4761" w:themeColor="accent1" w:themeShade="BF"/>
    </w:rPr>
  </w:style>
  <w:style w:type="paragraph" w:styleId="IntenseQuote">
    <w:name w:val="Intense Quote"/>
    <w:basedOn w:val="Normal"/>
    <w:next w:val="Normal"/>
    <w:link w:val="IntenseQuoteChar"/>
    <w:uiPriority w:val="30"/>
    <w:qFormat/>
    <w:rsid w:val="008275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75AE"/>
    <w:rPr>
      <w:i/>
      <w:iCs/>
      <w:color w:val="0F4761" w:themeColor="accent1" w:themeShade="BF"/>
    </w:rPr>
  </w:style>
  <w:style w:type="character" w:styleId="IntenseReference">
    <w:name w:val="Intense Reference"/>
    <w:basedOn w:val="DefaultParagraphFont"/>
    <w:uiPriority w:val="32"/>
    <w:qFormat/>
    <w:rsid w:val="008275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952705">
      <w:bodyDiv w:val="1"/>
      <w:marLeft w:val="0"/>
      <w:marRight w:val="0"/>
      <w:marTop w:val="0"/>
      <w:marBottom w:val="0"/>
      <w:divBdr>
        <w:top w:val="none" w:sz="0" w:space="0" w:color="auto"/>
        <w:left w:val="none" w:sz="0" w:space="0" w:color="auto"/>
        <w:bottom w:val="none" w:sz="0" w:space="0" w:color="auto"/>
        <w:right w:val="none" w:sz="0" w:space="0" w:color="auto"/>
      </w:divBdr>
    </w:div>
    <w:div w:id="1174418439">
      <w:bodyDiv w:val="1"/>
      <w:marLeft w:val="0"/>
      <w:marRight w:val="0"/>
      <w:marTop w:val="0"/>
      <w:marBottom w:val="0"/>
      <w:divBdr>
        <w:top w:val="none" w:sz="0" w:space="0" w:color="auto"/>
        <w:left w:val="none" w:sz="0" w:space="0" w:color="auto"/>
        <w:bottom w:val="none" w:sz="0" w:space="0" w:color="auto"/>
        <w:right w:val="none" w:sz="0" w:space="0" w:color="auto"/>
      </w:divBdr>
      <w:divsChild>
        <w:div w:id="356154428">
          <w:marLeft w:val="-720"/>
          <w:marRight w:val="0"/>
          <w:marTop w:val="0"/>
          <w:marBottom w:val="0"/>
          <w:divBdr>
            <w:top w:val="none" w:sz="0" w:space="0" w:color="auto"/>
            <w:left w:val="none" w:sz="0" w:space="0" w:color="auto"/>
            <w:bottom w:val="none" w:sz="0" w:space="0" w:color="auto"/>
            <w:right w:val="none" w:sz="0" w:space="0" w:color="auto"/>
          </w:divBdr>
        </w:div>
      </w:divsChild>
    </w:div>
    <w:div w:id="1413164485">
      <w:bodyDiv w:val="1"/>
      <w:marLeft w:val="0"/>
      <w:marRight w:val="0"/>
      <w:marTop w:val="0"/>
      <w:marBottom w:val="0"/>
      <w:divBdr>
        <w:top w:val="none" w:sz="0" w:space="0" w:color="auto"/>
        <w:left w:val="none" w:sz="0" w:space="0" w:color="auto"/>
        <w:bottom w:val="none" w:sz="0" w:space="0" w:color="auto"/>
        <w:right w:val="none" w:sz="0" w:space="0" w:color="auto"/>
      </w:divBdr>
    </w:div>
    <w:div w:id="1524592316">
      <w:bodyDiv w:val="1"/>
      <w:marLeft w:val="0"/>
      <w:marRight w:val="0"/>
      <w:marTop w:val="0"/>
      <w:marBottom w:val="0"/>
      <w:divBdr>
        <w:top w:val="none" w:sz="0" w:space="0" w:color="auto"/>
        <w:left w:val="none" w:sz="0" w:space="0" w:color="auto"/>
        <w:bottom w:val="none" w:sz="0" w:space="0" w:color="auto"/>
        <w:right w:val="none" w:sz="0" w:space="0" w:color="auto"/>
      </w:divBdr>
      <w:divsChild>
        <w:div w:id="911617937">
          <w:marLeft w:val="-720"/>
          <w:marRight w:val="0"/>
          <w:marTop w:val="0"/>
          <w:marBottom w:val="0"/>
          <w:divBdr>
            <w:top w:val="none" w:sz="0" w:space="0" w:color="auto"/>
            <w:left w:val="none" w:sz="0" w:space="0" w:color="auto"/>
            <w:bottom w:val="none" w:sz="0" w:space="0" w:color="auto"/>
            <w:right w:val="none" w:sz="0" w:space="0" w:color="auto"/>
          </w:divBdr>
        </w:div>
      </w:divsChild>
    </w:div>
    <w:div w:id="1668051920">
      <w:bodyDiv w:val="1"/>
      <w:marLeft w:val="0"/>
      <w:marRight w:val="0"/>
      <w:marTop w:val="0"/>
      <w:marBottom w:val="0"/>
      <w:divBdr>
        <w:top w:val="none" w:sz="0" w:space="0" w:color="auto"/>
        <w:left w:val="none" w:sz="0" w:space="0" w:color="auto"/>
        <w:bottom w:val="none" w:sz="0" w:space="0" w:color="auto"/>
        <w:right w:val="none" w:sz="0" w:space="0" w:color="auto"/>
      </w:divBdr>
    </w:div>
    <w:div w:id="168292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2025-01-14T04:05:00Z</dcterms:created>
  <dcterms:modified xsi:type="dcterms:W3CDTF">2025-02-09T01:21:00Z</dcterms:modified>
</cp:coreProperties>
</file>