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4A67C" w14:textId="39D9188B" w:rsidR="000F4462" w:rsidRDefault="00E91A45">
      <w:r>
        <w:t>Topic 7 Discussion 1</w:t>
      </w:r>
    </w:p>
    <w:p w14:paraId="0E533A11" w14:textId="2F0D630D" w:rsidR="00E91A45" w:rsidRDefault="00E91A45">
      <w:r w:rsidRPr="00E91A45">
        <w:t>Discuss how to balance demands from international organizations or corporations who are obliged to deal with conflicting security regulation requirements (i.e., a United States-based business doing business in the United States, including California (CCPA), as well as in European Union countries (GDPR).</w:t>
      </w:r>
    </w:p>
    <w:p w14:paraId="4982A9F4" w14:textId="29D3225B" w:rsidR="00E91A45" w:rsidRPr="00D72A1B" w:rsidRDefault="00DC7B1E" w:rsidP="00D72A1B">
      <w:r w:rsidRPr="00D72A1B">
        <w:t>Hello Class,</w:t>
      </w:r>
    </w:p>
    <w:p w14:paraId="7BE9B8A3" w14:textId="77777777" w:rsidR="00DC7B1E" w:rsidRPr="00DC7B1E" w:rsidRDefault="00DC7B1E" w:rsidP="00D72A1B">
      <w:pPr>
        <w:ind w:firstLine="720"/>
      </w:pPr>
      <w:r w:rsidRPr="00DC7B1E">
        <w:t>Balancing the demands of conflicting security regulation requirements, such as the California Consumer Privacy Act (CCPA) and the General Data Protection Regulation (GDPR), presents a significant challenge for organizations operating internationally. To navigate this complexity, businesses can adopt a multi-faceted approach.</w:t>
      </w:r>
    </w:p>
    <w:p w14:paraId="24AA5224" w14:textId="4B54AF4E" w:rsidR="00DC7B1E" w:rsidRPr="00DC7B1E" w:rsidRDefault="00D72A1B" w:rsidP="00D72A1B">
      <w:pPr>
        <w:ind w:firstLine="720"/>
      </w:pPr>
      <w:r>
        <w:t>First, o</w:t>
      </w:r>
      <w:r w:rsidR="00DC7B1E" w:rsidRPr="00DC7B1E">
        <w:t>rganizations should conduct a comprehensive regulatory assessment to understand the specific requirements of both CCPA and GDPR. This involves identifying overlapping areas, such as data subject rights and consent requirements, while also recognizing the unique obligations each regulation imposes</w:t>
      </w:r>
      <w:r>
        <w:t>(</w:t>
      </w:r>
      <w:r w:rsidRPr="00B74C4E">
        <w:t>McAuliffe</w:t>
      </w:r>
      <w:r>
        <w:t xml:space="preserve"> et al, 2019)</w:t>
      </w:r>
      <w:r w:rsidR="00DC7B1E" w:rsidRPr="00DC7B1E">
        <w:t>.</w:t>
      </w:r>
      <w:r>
        <w:t xml:space="preserve"> Second, by</w:t>
      </w:r>
      <w:r w:rsidR="00BF6198" w:rsidRPr="00D72A1B">
        <w:t xml:space="preserve"> </w:t>
      </w:r>
      <w:r>
        <w:t>i</w:t>
      </w:r>
      <w:r w:rsidR="00DC7B1E" w:rsidRPr="00DC7B1E">
        <w:t xml:space="preserve">mplementing a unified compliance </w:t>
      </w:r>
      <w:proofErr w:type="gramStart"/>
      <w:r w:rsidR="00DC7B1E" w:rsidRPr="00DC7B1E">
        <w:t>framework</w:t>
      </w:r>
      <w:proofErr w:type="gramEnd"/>
      <w:r w:rsidR="00DC7B1E" w:rsidRPr="00DC7B1E">
        <w:t> can streamline efforts. By developing policies and procedures that meet the most stringent requirements of both regulations, organizations can ensure compliance without duplicating efforts. For instance, since both regulations emphasize transparency and user consent, a single consent management system can be designed to satisfy both CCPA and GDPR requirements.</w:t>
      </w:r>
    </w:p>
    <w:p w14:paraId="59383459" w14:textId="13D345F2" w:rsidR="00DC7B1E" w:rsidRPr="00DC7B1E" w:rsidRDefault="00D72A1B" w:rsidP="00D72A1B">
      <w:pPr>
        <w:ind w:firstLine="720"/>
      </w:pPr>
      <w:r>
        <w:t>Third, o</w:t>
      </w:r>
      <w:r w:rsidR="00DC7B1E" w:rsidRPr="00DC7B1E">
        <w:t>rganizations should prioritize data minimization and anonymization techniques. By limiting the collection of personal data to what is strictly necessary and employing anonymization where possible, businesses can reduce the risk of non-compliance with either regulation</w:t>
      </w:r>
      <w:r>
        <w:t>(Data Guidance, n.d.)</w:t>
      </w:r>
      <w:r w:rsidR="00DC7B1E" w:rsidRPr="00DC7B1E">
        <w:t>. This approach not only enhances privacy but also simplifies compliance efforts.</w:t>
      </w:r>
      <w:r w:rsidR="00BF6198" w:rsidRPr="00D72A1B">
        <w:t xml:space="preserve"> F</w:t>
      </w:r>
      <w:r w:rsidR="00DC7B1E" w:rsidRPr="00DC7B1E">
        <w:t>ostering a culture of privacy awareness within the organization is crucial. Training employees on the nuances of both regulations and the importance of data protection can help mitigate risks associated with human error, which is often a significant factor in data breaches</w:t>
      </w:r>
      <w:r>
        <w:t>(</w:t>
      </w:r>
      <w:proofErr w:type="spellStart"/>
      <w:r>
        <w:t>Convesio</w:t>
      </w:r>
      <w:proofErr w:type="spellEnd"/>
      <w:r>
        <w:t>, 2024)</w:t>
      </w:r>
      <w:r w:rsidR="00DC7B1E" w:rsidRPr="00DC7B1E">
        <w:t>.</w:t>
      </w:r>
    </w:p>
    <w:p w14:paraId="5C3D203C" w14:textId="07652203" w:rsidR="00DC7B1E" w:rsidRPr="00DC7B1E" w:rsidRDefault="00D72A1B" w:rsidP="00D72A1B">
      <w:pPr>
        <w:ind w:firstLine="720"/>
      </w:pPr>
      <w:r>
        <w:t>Lastly, o</w:t>
      </w:r>
      <w:r w:rsidR="00DC7B1E" w:rsidRPr="00DC7B1E">
        <w:t>rganizations should engage in regular audits and assessments to ensure ongoing compliance. This includes monitoring changes in regulations and adapting policies accordingly. By staying proactive, businesses can better manage the evolving landscape of data protection laws.</w:t>
      </w:r>
    </w:p>
    <w:p w14:paraId="77696379" w14:textId="53A160F0" w:rsidR="00DC7B1E" w:rsidRDefault="00B74C4E">
      <w:r>
        <w:t>References:</w:t>
      </w:r>
    </w:p>
    <w:p w14:paraId="53E9FC77" w14:textId="77777777" w:rsidR="00B74C4E" w:rsidRPr="00B74C4E" w:rsidRDefault="00B74C4E" w:rsidP="00B74C4E">
      <w:proofErr w:type="spellStart"/>
      <w:r w:rsidRPr="00B74C4E">
        <w:lastRenderedPageBreak/>
        <w:t>Convesio</w:t>
      </w:r>
      <w:proofErr w:type="spellEnd"/>
      <w:r w:rsidRPr="00B74C4E">
        <w:t xml:space="preserve">. (2024, June 22). </w:t>
      </w:r>
      <w:r w:rsidRPr="00B74C4E">
        <w:rPr>
          <w:i/>
          <w:iCs/>
        </w:rPr>
        <w:t xml:space="preserve">The Impact of GDPR and CCPA on Data Privacy - </w:t>
      </w:r>
      <w:proofErr w:type="spellStart"/>
      <w:r w:rsidRPr="00B74C4E">
        <w:rPr>
          <w:i/>
          <w:iCs/>
        </w:rPr>
        <w:t>Convesio</w:t>
      </w:r>
      <w:proofErr w:type="spellEnd"/>
      <w:r w:rsidRPr="00B74C4E">
        <w:rPr>
          <w:i/>
          <w:iCs/>
        </w:rPr>
        <w:t xml:space="preserve"> Knowledge Base</w:t>
      </w:r>
      <w:r w:rsidRPr="00B74C4E">
        <w:t xml:space="preserve">. </w:t>
      </w:r>
      <w:proofErr w:type="spellStart"/>
      <w:r w:rsidRPr="00B74C4E">
        <w:t>Convesio</w:t>
      </w:r>
      <w:proofErr w:type="spellEnd"/>
      <w:r w:rsidRPr="00B74C4E">
        <w:t xml:space="preserve"> Knowledge Base. https://convesio.com/knowledgebase/article/the-impact-of-gdpr-and-ccpa-on-data-privacy/</w:t>
      </w:r>
    </w:p>
    <w:p w14:paraId="528748B5" w14:textId="77777777" w:rsidR="00B74C4E" w:rsidRPr="00B74C4E" w:rsidRDefault="00B74C4E" w:rsidP="00B74C4E">
      <w:r w:rsidRPr="00B74C4E">
        <w:t xml:space="preserve">Data Guidance. (n.d.). </w:t>
      </w:r>
      <w:r w:rsidRPr="00B74C4E">
        <w:rPr>
          <w:i/>
          <w:iCs/>
        </w:rPr>
        <w:t xml:space="preserve">Comparing privacy laws: GDPR v. CCPA </w:t>
      </w:r>
      <w:proofErr w:type="spellStart"/>
      <w:r w:rsidRPr="00B74C4E">
        <w:rPr>
          <w:i/>
          <w:iCs/>
        </w:rPr>
        <w:t>DataGuidance</w:t>
      </w:r>
      <w:proofErr w:type="spellEnd"/>
      <w:r w:rsidRPr="00B74C4E">
        <w:t>. https://fpf.org/wp-content/uploads/2018/11/GDPR_CCPA_Comparison-Guide.pdf</w:t>
      </w:r>
    </w:p>
    <w:p w14:paraId="2AFD1BAD" w14:textId="77777777" w:rsidR="00B74C4E" w:rsidRPr="00B74C4E" w:rsidRDefault="00B74C4E" w:rsidP="00B74C4E">
      <w:r w:rsidRPr="00B74C4E">
        <w:t xml:space="preserve">McAuliffe, B., Matthews, T., &amp; Friederich, T. (2019). </w:t>
      </w:r>
      <w:r w:rsidRPr="00B74C4E">
        <w:rPr>
          <w:i/>
          <w:iCs/>
        </w:rPr>
        <w:t>Conflicting Obligations under Data Privacy Regulations and the Discovery Phase of a Lawsuit</w:t>
      </w:r>
      <w:r w:rsidRPr="00B74C4E">
        <w:t>. Lewis Rice LLC. https://www.lewisrice.com/publications/conflicting-obligations-under-data-privacy-regulations-and-the-discovery-phase-of-a-lawsuit/</w:t>
      </w:r>
    </w:p>
    <w:p w14:paraId="2AB73072" w14:textId="77777777" w:rsidR="00B74C4E" w:rsidRDefault="00B74C4E"/>
    <w:sectPr w:rsidR="00B74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0F"/>
    <w:rsid w:val="00085E74"/>
    <w:rsid w:val="000F4462"/>
    <w:rsid w:val="001065F6"/>
    <w:rsid w:val="001646E4"/>
    <w:rsid w:val="002B1ADF"/>
    <w:rsid w:val="004939AD"/>
    <w:rsid w:val="00665B37"/>
    <w:rsid w:val="007B3281"/>
    <w:rsid w:val="00830D0F"/>
    <w:rsid w:val="008614F6"/>
    <w:rsid w:val="00B74C4E"/>
    <w:rsid w:val="00BF6198"/>
    <w:rsid w:val="00C80E55"/>
    <w:rsid w:val="00D72A1B"/>
    <w:rsid w:val="00DC7B1E"/>
    <w:rsid w:val="00E07DE4"/>
    <w:rsid w:val="00E9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1915"/>
  <w15:chartTrackingRefBased/>
  <w15:docId w15:val="{1222D085-9BC4-40F7-8127-EBC00BA4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D0F"/>
    <w:rPr>
      <w:rFonts w:eastAsiaTheme="majorEastAsia" w:cstheme="majorBidi"/>
      <w:color w:val="272727" w:themeColor="text1" w:themeTint="D8"/>
    </w:rPr>
  </w:style>
  <w:style w:type="paragraph" w:styleId="Title">
    <w:name w:val="Title"/>
    <w:basedOn w:val="Normal"/>
    <w:next w:val="Normal"/>
    <w:link w:val="TitleChar"/>
    <w:uiPriority w:val="10"/>
    <w:qFormat/>
    <w:rsid w:val="00830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D0F"/>
    <w:pPr>
      <w:spacing w:before="160"/>
      <w:jc w:val="center"/>
    </w:pPr>
    <w:rPr>
      <w:i/>
      <w:iCs/>
      <w:color w:val="404040" w:themeColor="text1" w:themeTint="BF"/>
    </w:rPr>
  </w:style>
  <w:style w:type="character" w:customStyle="1" w:styleId="QuoteChar">
    <w:name w:val="Quote Char"/>
    <w:basedOn w:val="DefaultParagraphFont"/>
    <w:link w:val="Quote"/>
    <w:uiPriority w:val="29"/>
    <w:rsid w:val="00830D0F"/>
    <w:rPr>
      <w:i/>
      <w:iCs/>
      <w:color w:val="404040" w:themeColor="text1" w:themeTint="BF"/>
    </w:rPr>
  </w:style>
  <w:style w:type="paragraph" w:styleId="ListParagraph">
    <w:name w:val="List Paragraph"/>
    <w:basedOn w:val="Normal"/>
    <w:uiPriority w:val="34"/>
    <w:qFormat/>
    <w:rsid w:val="00830D0F"/>
    <w:pPr>
      <w:ind w:left="720"/>
      <w:contextualSpacing/>
    </w:pPr>
  </w:style>
  <w:style w:type="character" w:styleId="IntenseEmphasis">
    <w:name w:val="Intense Emphasis"/>
    <w:basedOn w:val="DefaultParagraphFont"/>
    <w:uiPriority w:val="21"/>
    <w:qFormat/>
    <w:rsid w:val="00830D0F"/>
    <w:rPr>
      <w:i/>
      <w:iCs/>
      <w:color w:val="0F4761" w:themeColor="accent1" w:themeShade="BF"/>
    </w:rPr>
  </w:style>
  <w:style w:type="paragraph" w:styleId="IntenseQuote">
    <w:name w:val="Intense Quote"/>
    <w:basedOn w:val="Normal"/>
    <w:next w:val="Normal"/>
    <w:link w:val="IntenseQuoteChar"/>
    <w:uiPriority w:val="30"/>
    <w:qFormat/>
    <w:rsid w:val="00830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D0F"/>
    <w:rPr>
      <w:i/>
      <w:iCs/>
      <w:color w:val="0F4761" w:themeColor="accent1" w:themeShade="BF"/>
    </w:rPr>
  </w:style>
  <w:style w:type="character" w:styleId="IntenseReference">
    <w:name w:val="Intense Reference"/>
    <w:basedOn w:val="DefaultParagraphFont"/>
    <w:uiPriority w:val="32"/>
    <w:qFormat/>
    <w:rsid w:val="00830D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18529">
      <w:bodyDiv w:val="1"/>
      <w:marLeft w:val="0"/>
      <w:marRight w:val="0"/>
      <w:marTop w:val="0"/>
      <w:marBottom w:val="0"/>
      <w:divBdr>
        <w:top w:val="none" w:sz="0" w:space="0" w:color="auto"/>
        <w:left w:val="none" w:sz="0" w:space="0" w:color="auto"/>
        <w:bottom w:val="none" w:sz="0" w:space="0" w:color="auto"/>
        <w:right w:val="none" w:sz="0" w:space="0" w:color="auto"/>
      </w:divBdr>
    </w:div>
    <w:div w:id="372123815">
      <w:bodyDiv w:val="1"/>
      <w:marLeft w:val="0"/>
      <w:marRight w:val="0"/>
      <w:marTop w:val="0"/>
      <w:marBottom w:val="0"/>
      <w:divBdr>
        <w:top w:val="none" w:sz="0" w:space="0" w:color="auto"/>
        <w:left w:val="none" w:sz="0" w:space="0" w:color="auto"/>
        <w:bottom w:val="none" w:sz="0" w:space="0" w:color="auto"/>
        <w:right w:val="none" w:sz="0" w:space="0" w:color="auto"/>
      </w:divBdr>
      <w:divsChild>
        <w:div w:id="544574">
          <w:marLeft w:val="-720"/>
          <w:marRight w:val="0"/>
          <w:marTop w:val="0"/>
          <w:marBottom w:val="0"/>
          <w:divBdr>
            <w:top w:val="none" w:sz="0" w:space="0" w:color="auto"/>
            <w:left w:val="none" w:sz="0" w:space="0" w:color="auto"/>
            <w:bottom w:val="none" w:sz="0" w:space="0" w:color="auto"/>
            <w:right w:val="none" w:sz="0" w:space="0" w:color="auto"/>
          </w:divBdr>
        </w:div>
      </w:divsChild>
    </w:div>
    <w:div w:id="1599558089">
      <w:bodyDiv w:val="1"/>
      <w:marLeft w:val="0"/>
      <w:marRight w:val="0"/>
      <w:marTop w:val="0"/>
      <w:marBottom w:val="0"/>
      <w:divBdr>
        <w:top w:val="none" w:sz="0" w:space="0" w:color="auto"/>
        <w:left w:val="none" w:sz="0" w:space="0" w:color="auto"/>
        <w:bottom w:val="none" w:sz="0" w:space="0" w:color="auto"/>
        <w:right w:val="none" w:sz="0" w:space="0" w:color="auto"/>
      </w:divBdr>
      <w:divsChild>
        <w:div w:id="1021473679">
          <w:marLeft w:val="-720"/>
          <w:marRight w:val="0"/>
          <w:marTop w:val="0"/>
          <w:marBottom w:val="0"/>
          <w:divBdr>
            <w:top w:val="none" w:sz="0" w:space="0" w:color="auto"/>
            <w:left w:val="none" w:sz="0" w:space="0" w:color="auto"/>
            <w:bottom w:val="none" w:sz="0" w:space="0" w:color="auto"/>
            <w:right w:val="none" w:sz="0" w:space="0" w:color="auto"/>
          </w:divBdr>
        </w:div>
      </w:divsChild>
    </w:div>
    <w:div w:id="1620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2025-05-08T00:50:00Z</dcterms:created>
  <dcterms:modified xsi:type="dcterms:W3CDTF">2025-06-21T00:23:00Z</dcterms:modified>
</cp:coreProperties>
</file>