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E9FE4" w14:textId="1E608DA4" w:rsidR="00724950" w:rsidRDefault="00F32C32">
      <w:r>
        <w:t>Hello Dr. Kim,</w:t>
      </w:r>
    </w:p>
    <w:p w14:paraId="73F23AD2" w14:textId="77777777" w:rsidR="00F32C32" w:rsidRPr="00F32C32" w:rsidRDefault="00F32C32" w:rsidP="00F32C32">
      <w:r w:rsidRPr="00F32C32">
        <w:t>In the wake of a ransomware attack, prioritizing analytics deployment is crucial for enhancing both cybersecurity and business continuity in a financial services firm. Here’s a structured approach to developing a roadmap that aligns with the firm’s objectives:</w:t>
      </w:r>
    </w:p>
    <w:p w14:paraId="2EC78672" w14:textId="77777777" w:rsidR="00F32C32" w:rsidRPr="00F32C32" w:rsidRDefault="00F32C32" w:rsidP="00F32C32">
      <w:pPr>
        <w:numPr>
          <w:ilvl w:val="0"/>
          <w:numId w:val="1"/>
        </w:numPr>
      </w:pPr>
      <w:r w:rsidRPr="00F32C32">
        <w:rPr>
          <w:b/>
          <w:bCs/>
        </w:rPr>
        <w:t>Immediate Focus on Security Analytics</w:t>
      </w:r>
      <w:r w:rsidRPr="00F32C32">
        <w:t>: The first step should be to implement </w:t>
      </w:r>
      <w:r w:rsidRPr="00F32C32">
        <w:rPr>
          <w:b/>
          <w:bCs/>
        </w:rPr>
        <w:t>security analytics</w:t>
      </w:r>
      <w:r w:rsidRPr="00F32C32">
        <w:t> to monitor system behavior and detect anomalies in real time. This will help in identifying potential threats early, thereby reducing the risk of future attacks. Utilizing tools that leverage machine learning can enhance the detection capabilities significantly.</w:t>
      </w:r>
    </w:p>
    <w:p w14:paraId="377D9C81" w14:textId="77777777" w:rsidR="00F32C32" w:rsidRPr="00F32C32" w:rsidRDefault="00F32C32" w:rsidP="00F32C32">
      <w:pPr>
        <w:numPr>
          <w:ilvl w:val="0"/>
          <w:numId w:val="1"/>
        </w:numPr>
      </w:pPr>
      <w:r w:rsidRPr="00F32C32">
        <w:rPr>
          <w:b/>
          <w:bCs/>
        </w:rPr>
        <w:t>File Analytics for Data Classification</w:t>
      </w:r>
      <w:r w:rsidRPr="00F32C32">
        <w:t>: Next, deploying </w:t>
      </w:r>
      <w:r w:rsidRPr="00F32C32">
        <w:rPr>
          <w:b/>
          <w:bCs/>
        </w:rPr>
        <w:t>file analytics</w:t>
      </w:r>
      <w:r w:rsidRPr="00F32C32">
        <w:t> is essential to identify redundant, obsolete, or trivial (ROT) data. This process not only helps in classifying critical assets but also ensures that sensitive data is adequately protected. By cleaning up unnecessary data, the organization can streamline its data management processes and reduce the attack surface.</w:t>
      </w:r>
    </w:p>
    <w:p w14:paraId="68E9D994" w14:textId="77777777" w:rsidR="00F32C32" w:rsidRPr="00F32C32" w:rsidRDefault="00F32C32" w:rsidP="00F32C32">
      <w:pPr>
        <w:numPr>
          <w:ilvl w:val="0"/>
          <w:numId w:val="1"/>
        </w:numPr>
      </w:pPr>
      <w:r w:rsidRPr="00F32C32">
        <w:rPr>
          <w:b/>
          <w:bCs/>
        </w:rPr>
        <w:t>Predictive Analytics for Vulnerability Management</w:t>
      </w:r>
      <w:r w:rsidRPr="00F32C32">
        <w:t>: Following the establishment of security and file analytics, the focus should shift to </w:t>
      </w:r>
      <w:r w:rsidRPr="00F32C32">
        <w:rPr>
          <w:b/>
          <w:bCs/>
        </w:rPr>
        <w:t>predictive analytics</w:t>
      </w:r>
      <w:r w:rsidRPr="00F32C32">
        <w:t>. This will allow the firm to anticipate system vulnerabilities and prioritize patching efforts. By analyzing historical data and trends, the organization can proactively address potential weaknesses before they are exploited.</w:t>
      </w:r>
    </w:p>
    <w:p w14:paraId="6E4CDF00" w14:textId="77777777" w:rsidR="00F32C32" w:rsidRPr="00F32C32" w:rsidRDefault="00F32C32" w:rsidP="00F32C32">
      <w:pPr>
        <w:numPr>
          <w:ilvl w:val="0"/>
          <w:numId w:val="1"/>
        </w:numPr>
      </w:pPr>
      <w:r w:rsidRPr="00F32C32">
        <w:rPr>
          <w:b/>
          <w:bCs/>
        </w:rPr>
        <w:t>Content Analytics for Compliance</w:t>
      </w:r>
      <w:r w:rsidRPr="00F32C32">
        <w:t>: Finally, leveraging </w:t>
      </w:r>
      <w:r w:rsidRPr="00F32C32">
        <w:rPr>
          <w:b/>
          <w:bCs/>
        </w:rPr>
        <w:t>content analytics</w:t>
      </w:r>
      <w:r w:rsidRPr="00F32C32">
        <w:t> will facilitate e-discovery and compliance reporting, particularly under regulations like GLBA and SOX. This is vital for maintaining regulatory compliance and ensuring that the organization can respond effectively to audits and investigations.</w:t>
      </w:r>
    </w:p>
    <w:p w14:paraId="1613F3D8" w14:textId="77777777" w:rsidR="00F32C32" w:rsidRPr="00F32C32" w:rsidRDefault="00F32C32" w:rsidP="00F32C32">
      <w:r w:rsidRPr="00F32C32">
        <w:t>To ensure responsible use of these technologies, the following governance structures should be established:</w:t>
      </w:r>
    </w:p>
    <w:p w14:paraId="167E6E3A" w14:textId="77777777" w:rsidR="00F32C32" w:rsidRPr="00F32C32" w:rsidRDefault="00F32C32" w:rsidP="00F32C32">
      <w:pPr>
        <w:numPr>
          <w:ilvl w:val="0"/>
          <w:numId w:val="2"/>
        </w:numPr>
      </w:pPr>
      <w:r w:rsidRPr="00F32C32">
        <w:rPr>
          <w:b/>
          <w:bCs/>
        </w:rPr>
        <w:t>Data Ownership and Access Controls</w:t>
      </w:r>
      <w:r w:rsidRPr="00F32C32">
        <w:t>: Clearly define data ownership roles and implement strict access controls to ensure that only authorized personnel can access sensitive information. This will help mitigate risks associated with data breaches.</w:t>
      </w:r>
    </w:p>
    <w:p w14:paraId="0B5768DC" w14:textId="77777777" w:rsidR="00F32C32" w:rsidRPr="00F32C32" w:rsidRDefault="00F32C32" w:rsidP="00F32C32">
      <w:pPr>
        <w:numPr>
          <w:ilvl w:val="0"/>
          <w:numId w:val="2"/>
        </w:numPr>
      </w:pPr>
      <w:r w:rsidRPr="00F32C32">
        <w:rPr>
          <w:b/>
          <w:bCs/>
        </w:rPr>
        <w:t>Audit Trails and Monitoring</w:t>
      </w:r>
      <w:r w:rsidRPr="00F32C32">
        <w:t>: Establish comprehensive audit trails for all data access and modifications. Regular monitoring of these logs will help in identifying any unauthorized access or anomalies in data handling.</w:t>
      </w:r>
    </w:p>
    <w:p w14:paraId="335E85D5" w14:textId="77777777" w:rsidR="00F32C32" w:rsidRPr="00F32C32" w:rsidRDefault="00F32C32" w:rsidP="00F32C32">
      <w:pPr>
        <w:numPr>
          <w:ilvl w:val="0"/>
          <w:numId w:val="2"/>
        </w:numPr>
      </w:pPr>
      <w:r w:rsidRPr="00F32C32">
        <w:rPr>
          <w:b/>
          <w:bCs/>
        </w:rPr>
        <w:t>Compliance Framework</w:t>
      </w:r>
      <w:r w:rsidRPr="00F32C32">
        <w:t>: Adopt a compliance framework, such as the </w:t>
      </w:r>
      <w:r w:rsidRPr="00F32C32">
        <w:rPr>
          <w:b/>
          <w:bCs/>
        </w:rPr>
        <w:t>NIST Cybersecurity Framework (CSF) 2.0</w:t>
      </w:r>
      <w:r w:rsidRPr="00F32C32">
        <w:t xml:space="preserve">, which provides guidance on </w:t>
      </w:r>
      <w:r w:rsidRPr="00F32C32">
        <w:lastRenderedPageBreak/>
        <w:t>managing cybersecurity risks and aligning with regulatory requirements. This framework can help in structuring the organization’s cybersecurity strategy effectively.</w:t>
      </w:r>
    </w:p>
    <w:p w14:paraId="4C4101E9" w14:textId="77777777" w:rsidR="00F32C32" w:rsidRPr="00F32C32" w:rsidRDefault="00F32C32" w:rsidP="00F32C32">
      <w:pPr>
        <w:numPr>
          <w:ilvl w:val="0"/>
          <w:numId w:val="2"/>
        </w:numPr>
      </w:pPr>
      <w:r w:rsidRPr="00F32C32">
        <w:rPr>
          <w:b/>
          <w:bCs/>
        </w:rPr>
        <w:t>Stakeholder Engagement</w:t>
      </w:r>
      <w:r w:rsidRPr="00F32C32">
        <w:t>: Regularly engage with stakeholders to communicate the importance of these analytics tools and governance structures. This will foster a culture of security awareness and compliance throughout the organization.</w:t>
      </w:r>
    </w:p>
    <w:p w14:paraId="74F3370F" w14:textId="77777777" w:rsidR="00F32C32" w:rsidRPr="00F32C32" w:rsidRDefault="00F32C32" w:rsidP="00F32C32">
      <w:r w:rsidRPr="00F32C32">
        <w:t>By prioritizing these analytics deployments and establishing robust governance structures, the firm can significantly enhance its resilience against cyber threats while ensuring business continuity.</w:t>
      </w:r>
    </w:p>
    <w:p w14:paraId="57F3E943" w14:textId="37BCED33" w:rsidR="00F32C32" w:rsidRDefault="00F32C32">
      <w:r>
        <w:t>References:</w:t>
      </w:r>
    </w:p>
    <w:p w14:paraId="3763FF75" w14:textId="77777777" w:rsidR="00F32C32" w:rsidRPr="00F32C32" w:rsidRDefault="00F32C32" w:rsidP="00F32C32">
      <w:r w:rsidRPr="00F32C32">
        <w:t xml:space="preserve">NIST. (2024). The NIST cybersecurity framework (CSF) 2.0. </w:t>
      </w:r>
      <w:r w:rsidRPr="00F32C32">
        <w:rPr>
          <w:i/>
          <w:iCs/>
        </w:rPr>
        <w:t>The NIST Cybersecurity Framework (CSF) 2.0</w:t>
      </w:r>
      <w:r w:rsidRPr="00F32C32">
        <w:t xml:space="preserve">, </w:t>
      </w:r>
      <w:r w:rsidRPr="00F32C32">
        <w:rPr>
          <w:i/>
          <w:iCs/>
        </w:rPr>
        <w:t>2.0</w:t>
      </w:r>
      <w:r w:rsidRPr="00F32C32">
        <w:t>(29). https://doi.org/10.6028/nist.cswp.29</w:t>
      </w:r>
    </w:p>
    <w:p w14:paraId="124C05B8" w14:textId="77777777" w:rsidR="00F32C32" w:rsidRPr="00F32C32" w:rsidRDefault="00F32C32" w:rsidP="00F32C32">
      <w:r w:rsidRPr="00F32C32">
        <w:t xml:space="preserve">Office of the Comptroller of the Currency. (2025). </w:t>
      </w:r>
      <w:r w:rsidRPr="00F32C32">
        <w:rPr>
          <w:i/>
          <w:iCs/>
        </w:rPr>
        <w:t>Cybersecurity and Financial System Resilience Report Contents</w:t>
      </w:r>
      <w:r w:rsidRPr="00F32C32">
        <w:t>. https://www.occ.gov/publications-and-resources/publications/cybersecurity-and-financial-system-resilience/files/pub-2025-cybersecurity-report.pdf</w:t>
      </w:r>
    </w:p>
    <w:p w14:paraId="098431FF" w14:textId="77777777" w:rsidR="00F32C32" w:rsidRPr="00F32C32" w:rsidRDefault="00F32C32" w:rsidP="00F32C32">
      <w:r w:rsidRPr="00F32C32">
        <w:t xml:space="preserve">Saeed, S., Altamimi, S. A., Alkayyal, N. A., Alshehri, E., &amp; Alabbad, D. A. (2023). Digital Transformation and Cybersecurity Challenges for Businesses Resilience: Issues and Recommendations. </w:t>
      </w:r>
      <w:r w:rsidRPr="00F32C32">
        <w:rPr>
          <w:i/>
          <w:iCs/>
        </w:rPr>
        <w:t>Sensors</w:t>
      </w:r>
      <w:r w:rsidRPr="00F32C32">
        <w:t xml:space="preserve">, </w:t>
      </w:r>
      <w:r w:rsidRPr="00F32C32">
        <w:rPr>
          <w:i/>
          <w:iCs/>
        </w:rPr>
        <w:t>23</w:t>
      </w:r>
      <w:r w:rsidRPr="00F32C32">
        <w:t>(15). https://doi.org/10.3390/s23156666</w:t>
      </w:r>
    </w:p>
    <w:p w14:paraId="2F7EC86C" w14:textId="77777777" w:rsidR="00F32C32" w:rsidRPr="00F32C32" w:rsidRDefault="00F32C32" w:rsidP="00F32C32">
      <w:r w:rsidRPr="00F32C32">
        <w:t xml:space="preserve">Singh, K., Chatterjee, S., Mariani, M., &amp; Wamba, S. F. (2025). Cybersecurity resilience and innovation ecosystems for sustainable business excellence: Examining the dramatic changes in the macroeconomic business environment. </w:t>
      </w:r>
      <w:r w:rsidRPr="00F32C32">
        <w:rPr>
          <w:i/>
          <w:iCs/>
        </w:rPr>
        <w:t>Technovation</w:t>
      </w:r>
      <w:r w:rsidRPr="00F32C32">
        <w:t xml:space="preserve">, </w:t>
      </w:r>
      <w:r w:rsidRPr="00F32C32">
        <w:rPr>
          <w:i/>
          <w:iCs/>
        </w:rPr>
        <w:t>143</w:t>
      </w:r>
      <w:r w:rsidRPr="00F32C32">
        <w:t>, 103219. https://doi.org/10.1016/j.technovation.2025.103219</w:t>
      </w:r>
    </w:p>
    <w:p w14:paraId="0AC6E2E6" w14:textId="77777777" w:rsidR="00F32C32" w:rsidRDefault="00F32C32"/>
    <w:sectPr w:rsidR="00F32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12D8C"/>
    <w:multiLevelType w:val="multilevel"/>
    <w:tmpl w:val="101A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D8687E"/>
    <w:multiLevelType w:val="multilevel"/>
    <w:tmpl w:val="0BC04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8072072">
    <w:abstractNumId w:val="1"/>
  </w:num>
  <w:num w:numId="2" w16cid:durableId="1443108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C32"/>
    <w:rsid w:val="0015460B"/>
    <w:rsid w:val="002C08B1"/>
    <w:rsid w:val="00550FA2"/>
    <w:rsid w:val="00724950"/>
    <w:rsid w:val="0075269D"/>
    <w:rsid w:val="007D7224"/>
    <w:rsid w:val="00B9608F"/>
    <w:rsid w:val="00E857A3"/>
    <w:rsid w:val="00F32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2916D"/>
  <w15:chartTrackingRefBased/>
  <w15:docId w15:val="{05D8C17E-B2BA-479C-8E4E-8BECF340E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C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2C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2C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2C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2C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2C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2C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2C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2C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C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2C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2C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2C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2C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2C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2C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2C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2C32"/>
    <w:rPr>
      <w:rFonts w:eastAsiaTheme="majorEastAsia" w:cstheme="majorBidi"/>
      <w:color w:val="272727" w:themeColor="text1" w:themeTint="D8"/>
    </w:rPr>
  </w:style>
  <w:style w:type="paragraph" w:styleId="Title">
    <w:name w:val="Title"/>
    <w:basedOn w:val="Normal"/>
    <w:next w:val="Normal"/>
    <w:link w:val="TitleChar"/>
    <w:uiPriority w:val="10"/>
    <w:qFormat/>
    <w:rsid w:val="00F32C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C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2C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C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2C32"/>
    <w:pPr>
      <w:spacing w:before="160"/>
      <w:jc w:val="center"/>
    </w:pPr>
    <w:rPr>
      <w:i/>
      <w:iCs/>
      <w:color w:val="404040" w:themeColor="text1" w:themeTint="BF"/>
    </w:rPr>
  </w:style>
  <w:style w:type="character" w:customStyle="1" w:styleId="QuoteChar">
    <w:name w:val="Quote Char"/>
    <w:basedOn w:val="DefaultParagraphFont"/>
    <w:link w:val="Quote"/>
    <w:uiPriority w:val="29"/>
    <w:rsid w:val="00F32C32"/>
    <w:rPr>
      <w:i/>
      <w:iCs/>
      <w:color w:val="404040" w:themeColor="text1" w:themeTint="BF"/>
    </w:rPr>
  </w:style>
  <w:style w:type="paragraph" w:styleId="ListParagraph">
    <w:name w:val="List Paragraph"/>
    <w:basedOn w:val="Normal"/>
    <w:uiPriority w:val="34"/>
    <w:qFormat/>
    <w:rsid w:val="00F32C32"/>
    <w:pPr>
      <w:ind w:left="720"/>
      <w:contextualSpacing/>
    </w:pPr>
  </w:style>
  <w:style w:type="character" w:styleId="IntenseEmphasis">
    <w:name w:val="Intense Emphasis"/>
    <w:basedOn w:val="DefaultParagraphFont"/>
    <w:uiPriority w:val="21"/>
    <w:qFormat/>
    <w:rsid w:val="00F32C32"/>
    <w:rPr>
      <w:i/>
      <w:iCs/>
      <w:color w:val="0F4761" w:themeColor="accent1" w:themeShade="BF"/>
    </w:rPr>
  </w:style>
  <w:style w:type="paragraph" w:styleId="IntenseQuote">
    <w:name w:val="Intense Quote"/>
    <w:basedOn w:val="Normal"/>
    <w:next w:val="Normal"/>
    <w:link w:val="IntenseQuoteChar"/>
    <w:uiPriority w:val="30"/>
    <w:qFormat/>
    <w:rsid w:val="00F32C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2C32"/>
    <w:rPr>
      <w:i/>
      <w:iCs/>
      <w:color w:val="0F4761" w:themeColor="accent1" w:themeShade="BF"/>
    </w:rPr>
  </w:style>
  <w:style w:type="character" w:styleId="IntenseReference">
    <w:name w:val="Intense Reference"/>
    <w:basedOn w:val="DefaultParagraphFont"/>
    <w:uiPriority w:val="32"/>
    <w:qFormat/>
    <w:rsid w:val="00F32C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Coon</dc:creator>
  <cp:keywords/>
  <dc:description/>
  <cp:lastModifiedBy>Ryan Coon</cp:lastModifiedBy>
  <cp:revision>1</cp:revision>
  <dcterms:created xsi:type="dcterms:W3CDTF">2025-10-13T23:04:00Z</dcterms:created>
  <dcterms:modified xsi:type="dcterms:W3CDTF">2025-10-14T11:37:00Z</dcterms:modified>
</cp:coreProperties>
</file>