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93B87" w14:textId="77777777" w:rsidR="000F4462" w:rsidRDefault="000F4462" w:rsidP="00BE6C66">
      <w:pPr>
        <w:spacing w:line="480" w:lineRule="auto"/>
        <w:jc w:val="center"/>
        <w:rPr>
          <w:rFonts w:ascii="Times New Roman" w:hAnsi="Times New Roman" w:cs="Times New Roman"/>
        </w:rPr>
      </w:pPr>
    </w:p>
    <w:p w14:paraId="6ECD638C" w14:textId="77777777" w:rsidR="00BE6C66" w:rsidRDefault="00BE6C66" w:rsidP="00BE6C66">
      <w:pPr>
        <w:spacing w:line="480" w:lineRule="auto"/>
        <w:jc w:val="center"/>
        <w:rPr>
          <w:rFonts w:ascii="Times New Roman" w:hAnsi="Times New Roman" w:cs="Times New Roman"/>
        </w:rPr>
      </w:pPr>
    </w:p>
    <w:p w14:paraId="7D3A41A1" w14:textId="77777777" w:rsidR="00BE6C66" w:rsidRDefault="00BE6C66" w:rsidP="00BE6C66">
      <w:pPr>
        <w:spacing w:line="480" w:lineRule="auto"/>
        <w:jc w:val="center"/>
        <w:rPr>
          <w:rFonts w:ascii="Times New Roman" w:hAnsi="Times New Roman" w:cs="Times New Roman"/>
        </w:rPr>
      </w:pPr>
    </w:p>
    <w:p w14:paraId="4D072DAB" w14:textId="77777777" w:rsidR="00BE6C66" w:rsidRDefault="00BE6C66" w:rsidP="00BE6C66">
      <w:pPr>
        <w:spacing w:line="480" w:lineRule="auto"/>
        <w:jc w:val="center"/>
        <w:rPr>
          <w:rFonts w:ascii="Times New Roman" w:hAnsi="Times New Roman" w:cs="Times New Roman"/>
        </w:rPr>
      </w:pPr>
    </w:p>
    <w:p w14:paraId="06ACA82D" w14:textId="77777777" w:rsidR="00BE6C66" w:rsidRDefault="00BE6C66" w:rsidP="00BE6C66">
      <w:pPr>
        <w:spacing w:line="480" w:lineRule="auto"/>
        <w:jc w:val="center"/>
        <w:rPr>
          <w:rFonts w:ascii="Times New Roman" w:hAnsi="Times New Roman" w:cs="Times New Roman"/>
        </w:rPr>
      </w:pPr>
    </w:p>
    <w:p w14:paraId="57F8EC86" w14:textId="77777777" w:rsidR="00BE6C66" w:rsidRDefault="00BE6C66" w:rsidP="00BE6C66">
      <w:pPr>
        <w:spacing w:line="480" w:lineRule="auto"/>
        <w:rPr>
          <w:rFonts w:ascii="Times New Roman" w:hAnsi="Times New Roman" w:cs="Times New Roman"/>
        </w:rPr>
      </w:pPr>
    </w:p>
    <w:p w14:paraId="469F9BE9" w14:textId="77777777" w:rsidR="00BE6C66" w:rsidRDefault="00BE6C66" w:rsidP="00BE6C66">
      <w:pPr>
        <w:spacing w:line="480" w:lineRule="auto"/>
        <w:jc w:val="center"/>
        <w:rPr>
          <w:rFonts w:ascii="Times New Roman" w:hAnsi="Times New Roman" w:cs="Times New Roman"/>
        </w:rPr>
      </w:pPr>
    </w:p>
    <w:p w14:paraId="414656B2" w14:textId="0396AE0B" w:rsidR="00BE6C66" w:rsidRDefault="00BE6C66" w:rsidP="00BE6C66">
      <w:pPr>
        <w:spacing w:line="480" w:lineRule="auto"/>
        <w:jc w:val="center"/>
        <w:rPr>
          <w:rFonts w:ascii="Times New Roman" w:hAnsi="Times New Roman" w:cs="Times New Roman"/>
        </w:rPr>
      </w:pPr>
      <w:r>
        <w:rPr>
          <w:rFonts w:ascii="Times New Roman" w:hAnsi="Times New Roman" w:cs="Times New Roman"/>
        </w:rPr>
        <w:t>Architecture-Centric Processes and Practices</w:t>
      </w:r>
    </w:p>
    <w:p w14:paraId="52427E34" w14:textId="2FE18287" w:rsidR="00BE6C66" w:rsidRDefault="00BE6C66" w:rsidP="00BE6C66">
      <w:pPr>
        <w:spacing w:line="480" w:lineRule="auto"/>
        <w:jc w:val="center"/>
        <w:rPr>
          <w:rFonts w:ascii="Times New Roman" w:hAnsi="Times New Roman" w:cs="Times New Roman"/>
        </w:rPr>
      </w:pPr>
      <w:r>
        <w:rPr>
          <w:rFonts w:ascii="Times New Roman" w:hAnsi="Times New Roman" w:cs="Times New Roman"/>
        </w:rPr>
        <w:t>Ryan Coon</w:t>
      </w:r>
    </w:p>
    <w:p w14:paraId="70933886" w14:textId="5B32EB02" w:rsidR="00BE6C66" w:rsidRDefault="00BE6C66" w:rsidP="00BE6C66">
      <w:pPr>
        <w:spacing w:line="480" w:lineRule="auto"/>
        <w:jc w:val="center"/>
        <w:rPr>
          <w:rFonts w:ascii="Times New Roman" w:hAnsi="Times New Roman" w:cs="Times New Roman"/>
        </w:rPr>
      </w:pPr>
      <w:r>
        <w:rPr>
          <w:rFonts w:ascii="Times New Roman" w:hAnsi="Times New Roman" w:cs="Times New Roman"/>
        </w:rPr>
        <w:t>SWE-530</w:t>
      </w:r>
    </w:p>
    <w:p w14:paraId="69F2BE40" w14:textId="41132476" w:rsidR="00BE6C66" w:rsidRDefault="00BE6C66" w:rsidP="00BE6C66">
      <w:pPr>
        <w:spacing w:line="480" w:lineRule="auto"/>
        <w:jc w:val="center"/>
        <w:rPr>
          <w:rFonts w:ascii="Times New Roman" w:hAnsi="Times New Roman" w:cs="Times New Roman"/>
        </w:rPr>
      </w:pPr>
      <w:r>
        <w:rPr>
          <w:rFonts w:ascii="Times New Roman" w:hAnsi="Times New Roman" w:cs="Times New Roman"/>
        </w:rPr>
        <w:t>Professor Mohamed Mneimneh</w:t>
      </w:r>
    </w:p>
    <w:p w14:paraId="100DFFD4" w14:textId="0AC7DCC2" w:rsidR="00BE6C66" w:rsidRDefault="00BE6C66" w:rsidP="00BE6C66">
      <w:pPr>
        <w:spacing w:line="480" w:lineRule="auto"/>
        <w:jc w:val="center"/>
        <w:rPr>
          <w:rFonts w:ascii="Times New Roman" w:hAnsi="Times New Roman" w:cs="Times New Roman"/>
        </w:rPr>
      </w:pPr>
      <w:r>
        <w:rPr>
          <w:rFonts w:ascii="Times New Roman" w:hAnsi="Times New Roman" w:cs="Times New Roman"/>
        </w:rPr>
        <w:t>April 29, 2026</w:t>
      </w:r>
    </w:p>
    <w:p w14:paraId="7FF831B9" w14:textId="77777777" w:rsidR="00BE6C66" w:rsidRDefault="00BE6C66" w:rsidP="00BE6C66">
      <w:pPr>
        <w:spacing w:line="480" w:lineRule="auto"/>
        <w:jc w:val="center"/>
        <w:rPr>
          <w:rFonts w:ascii="Times New Roman" w:hAnsi="Times New Roman" w:cs="Times New Roman"/>
        </w:rPr>
      </w:pPr>
    </w:p>
    <w:p w14:paraId="4B40A6AE" w14:textId="77777777" w:rsidR="00BE6C66" w:rsidRDefault="00BE6C66" w:rsidP="00BE6C66">
      <w:pPr>
        <w:spacing w:line="480" w:lineRule="auto"/>
        <w:jc w:val="center"/>
        <w:rPr>
          <w:rFonts w:ascii="Times New Roman" w:hAnsi="Times New Roman" w:cs="Times New Roman"/>
        </w:rPr>
      </w:pPr>
    </w:p>
    <w:p w14:paraId="6CE18EAA" w14:textId="77777777" w:rsidR="00BE6C66" w:rsidRDefault="00BE6C66" w:rsidP="00BE6C66">
      <w:pPr>
        <w:spacing w:line="480" w:lineRule="auto"/>
        <w:jc w:val="center"/>
        <w:rPr>
          <w:rFonts w:ascii="Times New Roman" w:hAnsi="Times New Roman" w:cs="Times New Roman"/>
        </w:rPr>
      </w:pPr>
    </w:p>
    <w:p w14:paraId="20138484" w14:textId="77777777" w:rsidR="00BE6C66" w:rsidRDefault="00BE6C66" w:rsidP="00BE6C66">
      <w:pPr>
        <w:spacing w:line="480" w:lineRule="auto"/>
        <w:jc w:val="center"/>
        <w:rPr>
          <w:rFonts w:ascii="Times New Roman" w:hAnsi="Times New Roman" w:cs="Times New Roman"/>
        </w:rPr>
      </w:pPr>
    </w:p>
    <w:p w14:paraId="6039CF5C" w14:textId="77777777" w:rsidR="00BE6C66" w:rsidRDefault="00BE6C66" w:rsidP="00BE6C66">
      <w:pPr>
        <w:spacing w:line="480" w:lineRule="auto"/>
        <w:jc w:val="center"/>
        <w:rPr>
          <w:rFonts w:ascii="Times New Roman" w:hAnsi="Times New Roman" w:cs="Times New Roman"/>
        </w:rPr>
      </w:pPr>
    </w:p>
    <w:p w14:paraId="155DED49" w14:textId="77777777" w:rsidR="00BE6C66" w:rsidRDefault="00BE6C66" w:rsidP="00BE6C66">
      <w:pPr>
        <w:spacing w:line="480" w:lineRule="auto"/>
        <w:ind w:firstLine="360"/>
        <w:rPr>
          <w:rFonts w:ascii="Times New Roman" w:hAnsi="Times New Roman" w:cs="Times New Roman"/>
        </w:rPr>
      </w:pPr>
    </w:p>
    <w:p w14:paraId="6D41335F" w14:textId="74B315F2" w:rsidR="00BE6C66" w:rsidRPr="00BE6C66" w:rsidRDefault="00BE6C66" w:rsidP="00BE6C66">
      <w:pPr>
        <w:spacing w:line="480" w:lineRule="auto"/>
        <w:ind w:firstLine="360"/>
        <w:rPr>
          <w:rFonts w:ascii="Times New Roman" w:hAnsi="Times New Roman" w:cs="Times New Roman"/>
        </w:rPr>
      </w:pPr>
      <w:r w:rsidRPr="00BE6C66">
        <w:rPr>
          <w:rFonts w:ascii="Times New Roman" w:hAnsi="Times New Roman" w:cs="Times New Roman"/>
        </w:rPr>
        <w:lastRenderedPageBreak/>
        <w:t>In the provided company scenario, a once-thriving software organization has hit a critical juncture where product delivery has slowed to a crawl, system instability is rising, and developer morale is plummeting. This report analyzes the systemic failures within the organization, identifies the root causes of these disruptions, and proposes a comprehensive architectural and managerial framework to restore operational excellence.</w:t>
      </w:r>
    </w:p>
    <w:p w14:paraId="795CAD28" w14:textId="77777777" w:rsidR="00BE6C66" w:rsidRPr="00BE6C66" w:rsidRDefault="00BE6C66" w:rsidP="00BE6C66">
      <w:pPr>
        <w:numPr>
          <w:ilvl w:val="0"/>
          <w:numId w:val="1"/>
        </w:numPr>
        <w:spacing w:line="480" w:lineRule="auto"/>
        <w:rPr>
          <w:rFonts w:ascii="Times New Roman" w:hAnsi="Times New Roman" w:cs="Times New Roman"/>
        </w:rPr>
      </w:pPr>
      <w:r w:rsidRPr="00BE6C66">
        <w:rPr>
          <w:rFonts w:ascii="Times New Roman" w:hAnsi="Times New Roman" w:cs="Times New Roman"/>
        </w:rPr>
        <w:t>What Has Gone Wrong? The company is currently experiencing a "Productivity Death Spiral." Specifically, the primary symptom is a significant increase in the "lead time for changes" and a decrease in "deployment frequency." Features that previously took weeks to develop now take months. This is compounded by a high "change failure rate," where new updates inadvertently break existing functionality.</w:t>
      </w:r>
    </w:p>
    <w:p w14:paraId="736BDC3A" w14:textId="77777777" w:rsidR="00BE6C66" w:rsidRPr="00BE6C66" w:rsidRDefault="00BE6C66" w:rsidP="00BE6C66">
      <w:pPr>
        <w:spacing w:line="480" w:lineRule="auto"/>
        <w:rPr>
          <w:rFonts w:ascii="Times New Roman" w:hAnsi="Times New Roman" w:cs="Times New Roman"/>
        </w:rPr>
      </w:pPr>
      <w:r w:rsidRPr="00BE6C66">
        <w:rPr>
          <w:rFonts w:ascii="Times New Roman" w:hAnsi="Times New Roman" w:cs="Times New Roman"/>
        </w:rPr>
        <w:t>Furthermore, there is a visible disconnect between the engineering team and the business stakeholders. The software has become a "Big Ball of Mud"—a system that lacks a perceivable architecture, making it nearly impossible for new engineers to onboard or for existing engineers to predict the impact of code changes. Customer satisfaction is declining due to unaddressed bugs and a lack of innovation, while the internal culture is shifting toward burnout and finger-pointing.</w:t>
      </w:r>
    </w:p>
    <w:p w14:paraId="0BEC914A" w14:textId="77777777" w:rsidR="00BE6C66" w:rsidRPr="00BE6C66" w:rsidRDefault="00BE6C66" w:rsidP="00BE6C66">
      <w:pPr>
        <w:numPr>
          <w:ilvl w:val="0"/>
          <w:numId w:val="2"/>
        </w:numPr>
        <w:spacing w:line="480" w:lineRule="auto"/>
        <w:rPr>
          <w:rFonts w:ascii="Times New Roman" w:hAnsi="Times New Roman" w:cs="Times New Roman"/>
        </w:rPr>
      </w:pPr>
      <w:r w:rsidRPr="00BE6C66">
        <w:rPr>
          <w:rFonts w:ascii="Times New Roman" w:hAnsi="Times New Roman" w:cs="Times New Roman"/>
        </w:rPr>
        <w:t>Root Causes of the Issue The issues are rooted in the unchecked accumulation of technical debt and the absence of disciplined engineering processes. First, there was a historical prioritization of "speed over quality." To meet short-term market demands, the team bypassed automated testing and documentation, creating a fragile codebase.</w:t>
      </w:r>
    </w:p>
    <w:p w14:paraId="0D8E6CDF" w14:textId="77777777" w:rsidR="00BE6C66" w:rsidRPr="00BE6C66" w:rsidRDefault="00BE6C66" w:rsidP="00BE6C66">
      <w:pPr>
        <w:spacing w:line="480" w:lineRule="auto"/>
        <w:rPr>
          <w:rFonts w:ascii="Times New Roman" w:hAnsi="Times New Roman" w:cs="Times New Roman"/>
        </w:rPr>
      </w:pPr>
      <w:r w:rsidRPr="00BE6C66">
        <w:rPr>
          <w:rFonts w:ascii="Times New Roman" w:hAnsi="Times New Roman" w:cs="Times New Roman"/>
        </w:rPr>
        <w:t xml:space="preserve">Second, the company suffered from "Architectural Drift." As the product grew, the original design was stretched beyond its limits. Without a dedicated effort to refactor or evolve </w:t>
      </w:r>
      <w:proofErr w:type="gramStart"/>
      <w:r w:rsidRPr="00BE6C66">
        <w:rPr>
          <w:rFonts w:ascii="Times New Roman" w:hAnsi="Times New Roman" w:cs="Times New Roman"/>
        </w:rPr>
        <w:t xml:space="preserve">the </w:t>
      </w:r>
      <w:r w:rsidRPr="00BE6C66">
        <w:rPr>
          <w:rFonts w:ascii="Times New Roman" w:hAnsi="Times New Roman" w:cs="Times New Roman"/>
        </w:rPr>
        <w:lastRenderedPageBreak/>
        <w:t>architecture</w:t>
      </w:r>
      <w:proofErr w:type="gramEnd"/>
      <w:r w:rsidRPr="00BE6C66">
        <w:rPr>
          <w:rFonts w:ascii="Times New Roman" w:hAnsi="Times New Roman" w:cs="Times New Roman"/>
        </w:rPr>
        <w:t>, the system became highly coupled and monolithic. Third, a lack of communication protocols meant that silos formed between departments. The "Conway’s Law" effect is evident here: the fragmented organizational structure resulted in a fragmented, inconsistent software design. Finally, the absence of a robust Continuous Integration/Continuous Deployment (CI/CD) pipeline meant that errors were only discovered late in the development cycle, making them exponentially more expensive to fix.</w:t>
      </w:r>
    </w:p>
    <w:p w14:paraId="2BF36833" w14:textId="77777777" w:rsidR="00BE6C66" w:rsidRPr="00BE6C66" w:rsidRDefault="00BE6C66" w:rsidP="00BE6C66">
      <w:pPr>
        <w:numPr>
          <w:ilvl w:val="0"/>
          <w:numId w:val="3"/>
        </w:numPr>
        <w:spacing w:line="480" w:lineRule="auto"/>
        <w:rPr>
          <w:rFonts w:ascii="Times New Roman" w:hAnsi="Times New Roman" w:cs="Times New Roman"/>
        </w:rPr>
      </w:pPr>
      <w:r w:rsidRPr="00BE6C66">
        <w:rPr>
          <w:rFonts w:ascii="Times New Roman" w:hAnsi="Times New Roman" w:cs="Times New Roman"/>
        </w:rPr>
        <w:t>Actions to Resolve the Issue To resolve these issues, the company must pivot from a feature-only roadmap to a "Stability and Scalability" roadmap. The first immediate action is to implement a "Feature Freeze" or a significant reduction in new feature development to allocate at least 30% of engineering bandwidth to debt repayment and refactoring.</w:t>
      </w:r>
    </w:p>
    <w:p w14:paraId="33F1476B" w14:textId="77777777" w:rsidR="00BE6C66" w:rsidRPr="00BE6C66" w:rsidRDefault="00BE6C66" w:rsidP="00BE6C66">
      <w:pPr>
        <w:spacing w:line="480" w:lineRule="auto"/>
        <w:rPr>
          <w:rFonts w:ascii="Times New Roman" w:hAnsi="Times New Roman" w:cs="Times New Roman"/>
        </w:rPr>
      </w:pPr>
      <w:r w:rsidRPr="00BE6C66">
        <w:rPr>
          <w:rFonts w:ascii="Times New Roman" w:hAnsi="Times New Roman" w:cs="Times New Roman"/>
        </w:rPr>
        <w:t>Secondly, the organization must invest in observability tools. You cannot fix what you cannot measure. By implementing comprehensive logging, monitoring, and alerting, the team can identify the most unstable parts of the system and prioritize them for repair. Thirdly, the company must establish a rigorous code review process and automated testing suite. This ensures that no new code enters the system without meeting a baseline quality standard, effectively "stopping the bleeding" of further technical debt.</w:t>
      </w:r>
    </w:p>
    <w:p w14:paraId="4A4D9402" w14:textId="77777777" w:rsidR="00BE6C66" w:rsidRPr="00BE6C66" w:rsidRDefault="00BE6C66" w:rsidP="00BE6C66">
      <w:pPr>
        <w:numPr>
          <w:ilvl w:val="0"/>
          <w:numId w:val="4"/>
        </w:numPr>
        <w:spacing w:line="480" w:lineRule="auto"/>
        <w:rPr>
          <w:rFonts w:ascii="Times New Roman" w:hAnsi="Times New Roman" w:cs="Times New Roman"/>
        </w:rPr>
      </w:pPr>
      <w:r w:rsidRPr="00BE6C66">
        <w:rPr>
          <w:rFonts w:ascii="Times New Roman" w:hAnsi="Times New Roman" w:cs="Times New Roman"/>
        </w:rPr>
        <w:t>The Role of the Software Engineer A software engineer acts as the frontline defender of system integrity. In this scenario, the engineer’s role shifts from a mere "coder" to a "system steward." Engineers must advocate for technical excellence by communicating the risks of technical debt to non-technical stakeholders in terms of cost and time.</w:t>
      </w:r>
    </w:p>
    <w:p w14:paraId="1D33FD26" w14:textId="77777777" w:rsidR="00BE6C66" w:rsidRPr="00BE6C66" w:rsidRDefault="00BE6C66" w:rsidP="00BE6C66">
      <w:pPr>
        <w:spacing w:line="480" w:lineRule="auto"/>
        <w:rPr>
          <w:rFonts w:ascii="Times New Roman" w:hAnsi="Times New Roman" w:cs="Times New Roman"/>
        </w:rPr>
      </w:pPr>
      <w:r w:rsidRPr="00BE6C66">
        <w:rPr>
          <w:rFonts w:ascii="Times New Roman" w:hAnsi="Times New Roman" w:cs="Times New Roman"/>
        </w:rPr>
        <w:t xml:space="preserve">Software engineers can help by performing a "Technical Audit" of the current codebase to identify bottlenecks. They are responsible for implementing unit tests, integration tests, and </w:t>
      </w:r>
      <w:r w:rsidRPr="00BE6C66">
        <w:rPr>
          <w:rFonts w:ascii="Times New Roman" w:hAnsi="Times New Roman" w:cs="Times New Roman"/>
        </w:rPr>
        <w:lastRenderedPageBreak/>
        <w:t>ensuring that the "Definition of Done" includes documentation and peer review. Furthermore, they play a crucial role in mentoring junior staff to ensure that best practices are disseminated throughout the team, preventing the recurrence of legacy mistakes.</w:t>
      </w:r>
    </w:p>
    <w:p w14:paraId="6E836E46" w14:textId="77777777" w:rsidR="00BE6C66" w:rsidRPr="00BE6C66" w:rsidRDefault="00BE6C66" w:rsidP="00BE6C66">
      <w:pPr>
        <w:numPr>
          <w:ilvl w:val="0"/>
          <w:numId w:val="5"/>
        </w:numPr>
        <w:spacing w:line="480" w:lineRule="auto"/>
        <w:rPr>
          <w:rFonts w:ascii="Times New Roman" w:hAnsi="Times New Roman" w:cs="Times New Roman"/>
        </w:rPr>
      </w:pPr>
      <w:r w:rsidRPr="00BE6C66">
        <w:rPr>
          <w:rFonts w:ascii="Times New Roman" w:hAnsi="Times New Roman" w:cs="Times New Roman"/>
        </w:rPr>
        <w:t>Architecture Procedures and Practices to Avoid Future Issues To prevent a recurrence, the company must adopt an "Evolutionary Architecture" approach. This involves designing systems that support incremental change. Practices such as "Domain-Driven Design" (DDD) should be used to ensure the software structure reflects the business logic, reducing complexity.</w:t>
      </w:r>
    </w:p>
    <w:p w14:paraId="4AE2CACB" w14:textId="19B472A1" w:rsidR="00BE6C66" w:rsidRPr="00BE6C66" w:rsidRDefault="00BE6C66" w:rsidP="00BE6C66">
      <w:pPr>
        <w:spacing w:line="480" w:lineRule="auto"/>
        <w:rPr>
          <w:rFonts w:ascii="Times New Roman" w:hAnsi="Times New Roman" w:cs="Times New Roman"/>
        </w:rPr>
      </w:pPr>
      <w:r w:rsidRPr="00BE6C66">
        <w:rPr>
          <w:rFonts w:ascii="Times New Roman" w:hAnsi="Times New Roman" w:cs="Times New Roman"/>
        </w:rPr>
        <w:t>The organization should also implement "Architecture Decision Records" (ADRs) to document why certain technical choices were made, providing context for future teams. Adopting a microservices or modular monolith pattern can help decouple components, allowing teams to work independently without impacting the entire system. Regular "Refactoring Sprints" and "Chaos Engineering" exercises should be integrated into the lifecycle to proactively identify and resolve weaknesses before they manifest as outages.</w:t>
      </w:r>
    </w:p>
    <w:p w14:paraId="798AA975" w14:textId="77777777" w:rsidR="00BE6C66" w:rsidRPr="00BE6C66" w:rsidRDefault="00BE6C66" w:rsidP="00BE6C66">
      <w:pPr>
        <w:spacing w:line="480" w:lineRule="auto"/>
        <w:rPr>
          <w:rFonts w:ascii="Times New Roman" w:hAnsi="Times New Roman" w:cs="Times New Roman"/>
        </w:rPr>
      </w:pPr>
      <w:r w:rsidRPr="00BE6C66">
        <w:rPr>
          <w:rFonts w:ascii="Times New Roman" w:hAnsi="Times New Roman" w:cs="Times New Roman"/>
        </w:rPr>
        <w:t>Interview Responses</w:t>
      </w:r>
    </w:p>
    <w:p w14:paraId="5793D3EE" w14:textId="77777777" w:rsidR="00BE6C66" w:rsidRPr="00BE6C66" w:rsidRDefault="00BE6C66" w:rsidP="00BE6C66">
      <w:pPr>
        <w:spacing w:line="480" w:lineRule="auto"/>
        <w:rPr>
          <w:rFonts w:ascii="Times New Roman" w:hAnsi="Times New Roman" w:cs="Times New Roman"/>
        </w:rPr>
      </w:pPr>
      <w:r w:rsidRPr="00BE6C66">
        <w:rPr>
          <w:rFonts w:ascii="Times New Roman" w:hAnsi="Times New Roman" w:cs="Times New Roman"/>
        </w:rPr>
        <w:t xml:space="preserve">Quality Attributes and Justifications Quality attributes, often called "non-functional requirements," are the benchmarks that determine the system's viability. Maintainability is paramount because it reduces the long-term cost of ownership by making the code easy to modify. Scalability ensures the system can handle growth in user traffic without </w:t>
      </w:r>
      <w:proofErr w:type="gramStart"/>
      <w:r w:rsidRPr="00BE6C66">
        <w:rPr>
          <w:rFonts w:ascii="Times New Roman" w:hAnsi="Times New Roman" w:cs="Times New Roman"/>
        </w:rPr>
        <w:t>a total redesign</w:t>
      </w:r>
      <w:proofErr w:type="gramEnd"/>
      <w:r w:rsidRPr="00BE6C66">
        <w:rPr>
          <w:rFonts w:ascii="Times New Roman" w:hAnsi="Times New Roman" w:cs="Times New Roman"/>
        </w:rPr>
        <w:t xml:space="preserve">, protecting the company’s market share. Reliability is critical for user trust; a system that is frequently down loses revenue and reputation. Security protects sensitive data and ensures regulatory compliance, which is a legal necessity in the modern landscape. Each attribute </w:t>
      </w:r>
      <w:r w:rsidRPr="00BE6C66">
        <w:rPr>
          <w:rFonts w:ascii="Times New Roman" w:hAnsi="Times New Roman" w:cs="Times New Roman"/>
        </w:rPr>
        <w:lastRenderedPageBreak/>
        <w:t>contributes to a "Quality of Service" goal that ensures the software remains a business asset rather than a liability.</w:t>
      </w:r>
    </w:p>
    <w:p w14:paraId="5D3636FD" w14:textId="77777777" w:rsidR="00BE6C66" w:rsidRPr="00BE6C66" w:rsidRDefault="00BE6C66" w:rsidP="00BE6C66">
      <w:pPr>
        <w:spacing w:line="480" w:lineRule="auto"/>
        <w:rPr>
          <w:rFonts w:ascii="Times New Roman" w:hAnsi="Times New Roman" w:cs="Times New Roman"/>
        </w:rPr>
      </w:pPr>
      <w:r w:rsidRPr="00BE6C66">
        <w:rPr>
          <w:rFonts w:ascii="Times New Roman" w:hAnsi="Times New Roman" w:cs="Times New Roman"/>
        </w:rPr>
        <w:t>Costs and Schedule Estimates The financial commitment for recovery is substantial. Developer costs are estimated at an average of $120,000–$160,000 per senior engineer annually. For a team of five, including a dedicated Software Architect ($180,000+), the annual personnel burn rate exceeds $800,000. Schedule costs include a projected six-month "Recovery Phase" where feature output is reduced by 50%, representing an opportunity cost in the market. Infrastructure costs for CI/CD tools and cloud monitoring add roughly $50,000/year. The whole project phase cost for a 12-month turnaround is estimated at $1.2M, which covers personnel, tooling, and training.</w:t>
      </w:r>
    </w:p>
    <w:p w14:paraId="03E86679" w14:textId="77777777" w:rsidR="00BE6C66" w:rsidRPr="00BE6C66" w:rsidRDefault="00BE6C66" w:rsidP="00BE6C66">
      <w:pPr>
        <w:spacing w:line="480" w:lineRule="auto"/>
        <w:rPr>
          <w:rFonts w:ascii="Times New Roman" w:hAnsi="Times New Roman" w:cs="Times New Roman"/>
        </w:rPr>
      </w:pPr>
      <w:r w:rsidRPr="00BE6C66">
        <w:rPr>
          <w:rFonts w:ascii="Times New Roman" w:hAnsi="Times New Roman" w:cs="Times New Roman"/>
        </w:rPr>
        <w:t xml:space="preserve">Stakeholders and Multidisciplinary Teams Stakeholders include the Executive Leadership (CEO/CTO) who focus on ROI and market position; Product Managers who define the roadmap; Software Engineers and QA who build and verify the system; and End-Users who consume the product. Multidisciplinary teams should also include DevOps Engineers for infrastructure, Security Analysts for risk mitigation, and Customer Support to provide feedback loops from the field. Effective collaboration across these diverse groups ensures that technical solutions </w:t>
      </w:r>
      <w:proofErr w:type="gramStart"/>
      <w:r w:rsidRPr="00BE6C66">
        <w:rPr>
          <w:rFonts w:ascii="Times New Roman" w:hAnsi="Times New Roman" w:cs="Times New Roman"/>
        </w:rPr>
        <w:t>align with</w:t>
      </w:r>
      <w:proofErr w:type="gramEnd"/>
      <w:r w:rsidRPr="00BE6C66">
        <w:rPr>
          <w:rFonts w:ascii="Times New Roman" w:hAnsi="Times New Roman" w:cs="Times New Roman"/>
        </w:rPr>
        <w:t xml:space="preserve"> business realities and user needs.</w:t>
      </w:r>
    </w:p>
    <w:p w14:paraId="05AFEC47" w14:textId="77777777" w:rsidR="00BE6C66" w:rsidRPr="00BE6C66" w:rsidRDefault="00BE6C66" w:rsidP="00BE6C66">
      <w:pPr>
        <w:spacing w:line="480" w:lineRule="auto"/>
        <w:rPr>
          <w:rFonts w:ascii="Times New Roman" w:hAnsi="Times New Roman" w:cs="Times New Roman"/>
        </w:rPr>
      </w:pPr>
      <w:r w:rsidRPr="00BE6C66">
        <w:rPr>
          <w:rFonts w:ascii="Times New Roman" w:hAnsi="Times New Roman" w:cs="Times New Roman"/>
        </w:rPr>
        <w:t>Software Management Methods The primary method for problem-solving will be the Agile/Scrum framework combined with Lean principles. Goals are addressed through Sprint Planning, where objectives are broken into manageable tasks. Teamwork is fostered through Daily Stand-ups to identify blockers immediately. Training is addressed via Guilds or Communities of Practice, where engineers spend four hours a week learning new technologies or reviewing architectural patterns. This structured approach ensures transparency, accountability, and continuous improvement.</w:t>
      </w:r>
    </w:p>
    <w:p w14:paraId="49081BBC" w14:textId="77777777" w:rsidR="00BE6C66" w:rsidRPr="00BE6C66" w:rsidRDefault="00BE6C66" w:rsidP="00BE6C66">
      <w:pPr>
        <w:spacing w:line="480" w:lineRule="auto"/>
        <w:rPr>
          <w:rFonts w:ascii="Times New Roman" w:hAnsi="Times New Roman" w:cs="Times New Roman"/>
        </w:rPr>
      </w:pPr>
      <w:r w:rsidRPr="00BE6C66">
        <w:rPr>
          <w:rFonts w:ascii="Times New Roman" w:hAnsi="Times New Roman" w:cs="Times New Roman"/>
        </w:rPr>
        <w:lastRenderedPageBreak/>
        <w:t>Design Decisions and Constraints Design decisions are governed by the constraint of Backward Compatibility; we cannot break existing user workflows while refactoring. An Organizational Structure moving toward Two-Pizza Teams (small, autonomous units) will be implemented to increase agility. We will utilize Evolutionary Prototyping to test new architectural patterns—such as moving a single module to a serverless function—before committing to a full-scale migration. For example, if we are redesigning the payment gateway, we will prototype the new API in a sandbox environment to validate performance before replacing the legacy code.</w:t>
      </w:r>
    </w:p>
    <w:p w14:paraId="571CE120" w14:textId="77777777" w:rsidR="00BE6C66" w:rsidRPr="00BE6C66" w:rsidRDefault="00BE6C66" w:rsidP="00BE6C66">
      <w:pPr>
        <w:spacing w:line="480" w:lineRule="auto"/>
        <w:rPr>
          <w:rFonts w:ascii="Times New Roman" w:hAnsi="Times New Roman" w:cs="Times New Roman"/>
        </w:rPr>
      </w:pPr>
      <w:r w:rsidRPr="00BE6C66">
        <w:rPr>
          <w:rFonts w:ascii="Times New Roman" w:hAnsi="Times New Roman" w:cs="Times New Roman"/>
        </w:rPr>
        <w:t>Estimated Return on Investment (ROI) The ROI of this intervention is realized through Cost Avoidance and Increased Velocity. Currently, the company loses an estimated $500,000 annually due to downtime and inefficient development cycles. By investing $1.2M in engineering excellence, we expect to reduce the Time to Market for new features by 40% in Year 2. This increased agility, combined with reduced maintenance costs and higher customer retention (projected 15% increase), suggests a break-even point at 18 months, with a 25–30% net improvement in profitability by the end of Year 3.</w:t>
      </w:r>
    </w:p>
    <w:p w14:paraId="1485B601" w14:textId="77777777" w:rsidR="00BE6C66" w:rsidRPr="00BE6C66" w:rsidRDefault="00BE6C66" w:rsidP="00BE6C66">
      <w:pPr>
        <w:spacing w:line="480" w:lineRule="auto"/>
        <w:rPr>
          <w:rFonts w:ascii="Times New Roman" w:hAnsi="Times New Roman" w:cs="Times New Roman"/>
        </w:rPr>
      </w:pPr>
    </w:p>
    <w:sectPr w:rsidR="00BE6C66" w:rsidRPr="00BE6C6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860EA" w14:textId="77777777" w:rsidR="00052F68" w:rsidRDefault="00052F68" w:rsidP="00BE6C66">
      <w:pPr>
        <w:spacing w:after="0" w:line="240" w:lineRule="auto"/>
      </w:pPr>
      <w:r>
        <w:separator/>
      </w:r>
    </w:p>
  </w:endnote>
  <w:endnote w:type="continuationSeparator" w:id="0">
    <w:p w14:paraId="67E85B38" w14:textId="77777777" w:rsidR="00052F68" w:rsidRDefault="00052F68" w:rsidP="00BE6C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2F388" w14:textId="77777777" w:rsidR="00052F68" w:rsidRDefault="00052F68" w:rsidP="00BE6C66">
      <w:pPr>
        <w:spacing w:after="0" w:line="240" w:lineRule="auto"/>
      </w:pPr>
      <w:r>
        <w:separator/>
      </w:r>
    </w:p>
  </w:footnote>
  <w:footnote w:type="continuationSeparator" w:id="0">
    <w:p w14:paraId="19787C9E" w14:textId="77777777" w:rsidR="00052F68" w:rsidRDefault="00052F68" w:rsidP="00BE6C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84D65" w14:textId="24B5BA69" w:rsidR="00BE6C66" w:rsidRDefault="00BE6C66">
    <w:pPr>
      <w:pStyle w:val="Header"/>
      <w:jc w:val="right"/>
    </w:pPr>
    <w:r>
      <w:t xml:space="preserve">ARCHITECTURE-CENTRIC PROCESSES AND PRACTICES                                                                  </w:t>
    </w:r>
    <w:sdt>
      <w:sdtPr>
        <w:id w:val="-1466041440"/>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830D721" w14:textId="77777777" w:rsidR="00BE6C66" w:rsidRDefault="00BE6C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73101"/>
    <w:multiLevelType w:val="multilevel"/>
    <w:tmpl w:val="6A0E2B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CD1792"/>
    <w:multiLevelType w:val="multilevel"/>
    <w:tmpl w:val="D466F7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C2450A"/>
    <w:multiLevelType w:val="multilevel"/>
    <w:tmpl w:val="C396EC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FA1553"/>
    <w:multiLevelType w:val="multilevel"/>
    <w:tmpl w:val="7ABC17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5356E3"/>
    <w:multiLevelType w:val="multilevel"/>
    <w:tmpl w:val="2EF84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8484741">
    <w:abstractNumId w:val="4"/>
  </w:num>
  <w:num w:numId="2" w16cid:durableId="435029402">
    <w:abstractNumId w:val="3"/>
  </w:num>
  <w:num w:numId="3" w16cid:durableId="1950774582">
    <w:abstractNumId w:val="1"/>
  </w:num>
  <w:num w:numId="4" w16cid:durableId="1862618934">
    <w:abstractNumId w:val="2"/>
  </w:num>
  <w:num w:numId="5" w16cid:durableId="1231965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C66"/>
    <w:rsid w:val="00052F68"/>
    <w:rsid w:val="00085E74"/>
    <w:rsid w:val="000F4462"/>
    <w:rsid w:val="001065F6"/>
    <w:rsid w:val="001646E4"/>
    <w:rsid w:val="002B1ADF"/>
    <w:rsid w:val="00665B37"/>
    <w:rsid w:val="006C5BDC"/>
    <w:rsid w:val="007B3281"/>
    <w:rsid w:val="008614F6"/>
    <w:rsid w:val="00B55DFA"/>
    <w:rsid w:val="00BE6C66"/>
    <w:rsid w:val="00E0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B358B"/>
  <w15:chartTrackingRefBased/>
  <w15:docId w15:val="{EF2F399F-7D4D-43E3-883C-2CD9D48E6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C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6C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6C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6C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C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C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C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C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C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C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6C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6C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6C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C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C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C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C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C66"/>
    <w:rPr>
      <w:rFonts w:eastAsiaTheme="majorEastAsia" w:cstheme="majorBidi"/>
      <w:color w:val="272727" w:themeColor="text1" w:themeTint="D8"/>
    </w:rPr>
  </w:style>
  <w:style w:type="paragraph" w:styleId="Title">
    <w:name w:val="Title"/>
    <w:basedOn w:val="Normal"/>
    <w:next w:val="Normal"/>
    <w:link w:val="TitleChar"/>
    <w:uiPriority w:val="10"/>
    <w:qFormat/>
    <w:rsid w:val="00BE6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C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C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C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C66"/>
    <w:pPr>
      <w:spacing w:before="160"/>
      <w:jc w:val="center"/>
    </w:pPr>
    <w:rPr>
      <w:i/>
      <w:iCs/>
      <w:color w:val="404040" w:themeColor="text1" w:themeTint="BF"/>
    </w:rPr>
  </w:style>
  <w:style w:type="character" w:customStyle="1" w:styleId="QuoteChar">
    <w:name w:val="Quote Char"/>
    <w:basedOn w:val="DefaultParagraphFont"/>
    <w:link w:val="Quote"/>
    <w:uiPriority w:val="29"/>
    <w:rsid w:val="00BE6C66"/>
    <w:rPr>
      <w:i/>
      <w:iCs/>
      <w:color w:val="404040" w:themeColor="text1" w:themeTint="BF"/>
    </w:rPr>
  </w:style>
  <w:style w:type="paragraph" w:styleId="ListParagraph">
    <w:name w:val="List Paragraph"/>
    <w:basedOn w:val="Normal"/>
    <w:uiPriority w:val="34"/>
    <w:qFormat/>
    <w:rsid w:val="00BE6C66"/>
    <w:pPr>
      <w:ind w:left="720"/>
      <w:contextualSpacing/>
    </w:pPr>
  </w:style>
  <w:style w:type="character" w:styleId="IntenseEmphasis">
    <w:name w:val="Intense Emphasis"/>
    <w:basedOn w:val="DefaultParagraphFont"/>
    <w:uiPriority w:val="21"/>
    <w:qFormat/>
    <w:rsid w:val="00BE6C66"/>
    <w:rPr>
      <w:i/>
      <w:iCs/>
      <w:color w:val="0F4761" w:themeColor="accent1" w:themeShade="BF"/>
    </w:rPr>
  </w:style>
  <w:style w:type="paragraph" w:styleId="IntenseQuote">
    <w:name w:val="Intense Quote"/>
    <w:basedOn w:val="Normal"/>
    <w:next w:val="Normal"/>
    <w:link w:val="IntenseQuoteChar"/>
    <w:uiPriority w:val="30"/>
    <w:qFormat/>
    <w:rsid w:val="00BE6C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C66"/>
    <w:rPr>
      <w:i/>
      <w:iCs/>
      <w:color w:val="0F4761" w:themeColor="accent1" w:themeShade="BF"/>
    </w:rPr>
  </w:style>
  <w:style w:type="character" w:styleId="IntenseReference">
    <w:name w:val="Intense Reference"/>
    <w:basedOn w:val="DefaultParagraphFont"/>
    <w:uiPriority w:val="32"/>
    <w:qFormat/>
    <w:rsid w:val="00BE6C66"/>
    <w:rPr>
      <w:b/>
      <w:bCs/>
      <w:smallCaps/>
      <w:color w:val="0F4761" w:themeColor="accent1" w:themeShade="BF"/>
      <w:spacing w:val="5"/>
    </w:rPr>
  </w:style>
  <w:style w:type="paragraph" w:styleId="Header">
    <w:name w:val="header"/>
    <w:basedOn w:val="Normal"/>
    <w:link w:val="HeaderChar"/>
    <w:uiPriority w:val="99"/>
    <w:unhideWhenUsed/>
    <w:rsid w:val="00BE6C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6C66"/>
  </w:style>
  <w:style w:type="paragraph" w:styleId="Footer">
    <w:name w:val="footer"/>
    <w:basedOn w:val="Normal"/>
    <w:link w:val="FooterChar"/>
    <w:uiPriority w:val="99"/>
    <w:unhideWhenUsed/>
    <w:rsid w:val="00BE6C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6C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1311</Words>
  <Characters>7474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1</cp:revision>
  <dcterms:created xsi:type="dcterms:W3CDTF">2026-04-27T00:07:00Z</dcterms:created>
  <dcterms:modified xsi:type="dcterms:W3CDTF">2026-04-27T00:32:00Z</dcterms:modified>
</cp:coreProperties>
</file>