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64D21" w14:textId="77777777" w:rsidR="00334D79" w:rsidRDefault="00334D79" w:rsidP="00334D79">
      <w:pPr>
        <w:spacing w:line="480" w:lineRule="auto"/>
        <w:jc w:val="center"/>
        <w:rPr>
          <w:rFonts w:ascii="Times New Roman" w:hAnsi="Times New Roman" w:cs="Times New Roman"/>
        </w:rPr>
      </w:pPr>
    </w:p>
    <w:p w14:paraId="052A07CA" w14:textId="77777777" w:rsidR="00334D79" w:rsidRDefault="00334D79" w:rsidP="00334D79">
      <w:pPr>
        <w:spacing w:line="480" w:lineRule="auto"/>
        <w:jc w:val="center"/>
        <w:rPr>
          <w:rFonts w:ascii="Times New Roman" w:hAnsi="Times New Roman" w:cs="Times New Roman"/>
        </w:rPr>
      </w:pPr>
    </w:p>
    <w:p w14:paraId="29AD361F" w14:textId="77777777" w:rsidR="00334D79" w:rsidRDefault="00334D79" w:rsidP="00334D79">
      <w:pPr>
        <w:spacing w:line="480" w:lineRule="auto"/>
        <w:jc w:val="center"/>
        <w:rPr>
          <w:rFonts w:ascii="Times New Roman" w:hAnsi="Times New Roman" w:cs="Times New Roman"/>
        </w:rPr>
      </w:pPr>
    </w:p>
    <w:p w14:paraId="690A0F52" w14:textId="77777777" w:rsidR="00334D79" w:rsidRDefault="00334D79" w:rsidP="00334D79">
      <w:pPr>
        <w:spacing w:line="480" w:lineRule="auto"/>
        <w:jc w:val="center"/>
        <w:rPr>
          <w:rFonts w:ascii="Times New Roman" w:hAnsi="Times New Roman" w:cs="Times New Roman"/>
        </w:rPr>
      </w:pPr>
    </w:p>
    <w:p w14:paraId="4696A2F8" w14:textId="77777777" w:rsidR="00334D79" w:rsidRDefault="00334D79" w:rsidP="00334D79">
      <w:pPr>
        <w:spacing w:line="480" w:lineRule="auto"/>
        <w:jc w:val="center"/>
        <w:rPr>
          <w:rFonts w:ascii="Times New Roman" w:hAnsi="Times New Roman" w:cs="Times New Roman"/>
        </w:rPr>
      </w:pPr>
    </w:p>
    <w:p w14:paraId="68DAE96D" w14:textId="77777777" w:rsidR="00334D79" w:rsidRDefault="00334D79" w:rsidP="00334D79">
      <w:pPr>
        <w:spacing w:line="480" w:lineRule="auto"/>
        <w:jc w:val="center"/>
        <w:rPr>
          <w:rFonts w:ascii="Times New Roman" w:hAnsi="Times New Roman" w:cs="Times New Roman"/>
        </w:rPr>
      </w:pPr>
    </w:p>
    <w:p w14:paraId="14244C84" w14:textId="77777777" w:rsidR="00334D79" w:rsidRDefault="00334D79" w:rsidP="00334D79">
      <w:pPr>
        <w:spacing w:line="480" w:lineRule="auto"/>
        <w:jc w:val="center"/>
        <w:rPr>
          <w:rFonts w:ascii="Times New Roman" w:hAnsi="Times New Roman" w:cs="Times New Roman"/>
        </w:rPr>
      </w:pPr>
    </w:p>
    <w:p w14:paraId="19B91DC6" w14:textId="77777777" w:rsidR="00334D79" w:rsidRDefault="00334D79" w:rsidP="00334D79">
      <w:pPr>
        <w:spacing w:line="480" w:lineRule="auto"/>
        <w:jc w:val="center"/>
        <w:rPr>
          <w:rFonts w:ascii="Times New Roman" w:hAnsi="Times New Roman" w:cs="Times New Roman"/>
        </w:rPr>
      </w:pPr>
    </w:p>
    <w:p w14:paraId="0517A666" w14:textId="4F981DB9" w:rsidR="00334D79" w:rsidRDefault="00334D79" w:rsidP="00334D79">
      <w:pPr>
        <w:spacing w:line="480" w:lineRule="auto"/>
        <w:jc w:val="center"/>
        <w:rPr>
          <w:rFonts w:ascii="Times New Roman" w:hAnsi="Times New Roman" w:cs="Times New Roman"/>
        </w:rPr>
      </w:pPr>
      <w:r w:rsidRPr="00334D79">
        <w:rPr>
          <w:rFonts w:ascii="Times New Roman" w:hAnsi="Times New Roman" w:cs="Times New Roman"/>
        </w:rPr>
        <w:t>Key Decisions in Physical Database Design</w:t>
      </w:r>
    </w:p>
    <w:p w14:paraId="4327F1C8" w14:textId="78F993B0" w:rsidR="00334D79" w:rsidRDefault="00334D79" w:rsidP="00334D79">
      <w:pPr>
        <w:spacing w:line="480" w:lineRule="auto"/>
        <w:jc w:val="center"/>
        <w:rPr>
          <w:rFonts w:ascii="Times New Roman" w:hAnsi="Times New Roman" w:cs="Times New Roman"/>
        </w:rPr>
      </w:pPr>
      <w:r>
        <w:rPr>
          <w:rFonts w:ascii="Times New Roman" w:hAnsi="Times New Roman" w:cs="Times New Roman"/>
        </w:rPr>
        <w:t>Ryan Coon</w:t>
      </w:r>
    </w:p>
    <w:p w14:paraId="3AB9C639" w14:textId="5294F3C0" w:rsidR="00334D79" w:rsidRDefault="00334D79" w:rsidP="00334D79">
      <w:pPr>
        <w:spacing w:line="480" w:lineRule="auto"/>
        <w:jc w:val="center"/>
        <w:rPr>
          <w:rFonts w:ascii="Times New Roman" w:hAnsi="Times New Roman" w:cs="Times New Roman"/>
        </w:rPr>
      </w:pPr>
      <w:r>
        <w:rPr>
          <w:rFonts w:ascii="Times New Roman" w:hAnsi="Times New Roman" w:cs="Times New Roman"/>
        </w:rPr>
        <w:t>SDD-620</w:t>
      </w:r>
    </w:p>
    <w:p w14:paraId="45E1F63D" w14:textId="2EE65A36" w:rsidR="00334D79" w:rsidRDefault="00334D79" w:rsidP="00334D79">
      <w:pPr>
        <w:spacing w:line="480" w:lineRule="auto"/>
        <w:jc w:val="center"/>
        <w:rPr>
          <w:rFonts w:ascii="Times New Roman" w:hAnsi="Times New Roman" w:cs="Times New Roman"/>
        </w:rPr>
      </w:pPr>
      <w:r>
        <w:rPr>
          <w:rFonts w:ascii="Times New Roman" w:hAnsi="Times New Roman" w:cs="Times New Roman"/>
        </w:rPr>
        <w:t>Dr. Benjamin Perez</w:t>
      </w:r>
    </w:p>
    <w:p w14:paraId="167E14CD" w14:textId="15CC1704" w:rsidR="00334D79" w:rsidRPr="00334D79" w:rsidRDefault="00334D79" w:rsidP="00334D79">
      <w:pPr>
        <w:spacing w:line="480" w:lineRule="auto"/>
        <w:jc w:val="center"/>
        <w:rPr>
          <w:rFonts w:ascii="Times New Roman" w:hAnsi="Times New Roman" w:cs="Times New Roman"/>
        </w:rPr>
      </w:pPr>
      <w:r>
        <w:rPr>
          <w:rFonts w:ascii="Times New Roman" w:hAnsi="Times New Roman" w:cs="Times New Roman"/>
        </w:rPr>
        <w:t>August 19, 2026</w:t>
      </w:r>
    </w:p>
    <w:p w14:paraId="48AA5788" w14:textId="77777777" w:rsidR="000F4462" w:rsidRDefault="000F4462" w:rsidP="00334D79">
      <w:pPr>
        <w:spacing w:line="480" w:lineRule="auto"/>
        <w:rPr>
          <w:rFonts w:ascii="Times New Roman" w:hAnsi="Times New Roman" w:cs="Times New Roman"/>
        </w:rPr>
      </w:pPr>
    </w:p>
    <w:p w14:paraId="5E69BF2D" w14:textId="77777777" w:rsidR="00334D79" w:rsidRDefault="00334D79" w:rsidP="00334D79">
      <w:pPr>
        <w:spacing w:line="480" w:lineRule="auto"/>
        <w:rPr>
          <w:rFonts w:ascii="Times New Roman" w:hAnsi="Times New Roman" w:cs="Times New Roman"/>
        </w:rPr>
      </w:pPr>
    </w:p>
    <w:p w14:paraId="12837BCC" w14:textId="77777777" w:rsidR="00334D79" w:rsidRDefault="00334D79" w:rsidP="00334D79">
      <w:pPr>
        <w:spacing w:line="480" w:lineRule="auto"/>
        <w:rPr>
          <w:rFonts w:ascii="Times New Roman" w:hAnsi="Times New Roman" w:cs="Times New Roman"/>
        </w:rPr>
      </w:pPr>
    </w:p>
    <w:p w14:paraId="456638B3" w14:textId="77777777" w:rsidR="00334D79" w:rsidRDefault="00334D79" w:rsidP="00334D79">
      <w:pPr>
        <w:spacing w:line="480" w:lineRule="auto"/>
        <w:rPr>
          <w:rFonts w:ascii="Times New Roman" w:hAnsi="Times New Roman" w:cs="Times New Roman"/>
        </w:rPr>
      </w:pPr>
    </w:p>
    <w:p w14:paraId="192C8526" w14:textId="77777777" w:rsidR="00334D79" w:rsidRDefault="00334D79" w:rsidP="00334D79">
      <w:pPr>
        <w:spacing w:line="480" w:lineRule="auto"/>
        <w:rPr>
          <w:rFonts w:ascii="Times New Roman" w:hAnsi="Times New Roman" w:cs="Times New Roman"/>
        </w:rPr>
      </w:pPr>
    </w:p>
    <w:p w14:paraId="2F12D5A2" w14:textId="77777777" w:rsidR="00334D79" w:rsidRPr="00334D79" w:rsidRDefault="00334D79" w:rsidP="00525F62">
      <w:pPr>
        <w:spacing w:line="480" w:lineRule="auto"/>
        <w:jc w:val="center"/>
        <w:rPr>
          <w:rFonts w:ascii="Times New Roman" w:hAnsi="Times New Roman" w:cs="Times New Roman"/>
          <w:b/>
          <w:bCs/>
        </w:rPr>
      </w:pPr>
      <w:r w:rsidRPr="00334D79">
        <w:rPr>
          <w:rFonts w:ascii="Times New Roman" w:hAnsi="Times New Roman" w:cs="Times New Roman"/>
          <w:b/>
          <w:bCs/>
        </w:rPr>
        <w:lastRenderedPageBreak/>
        <w:t>Part 1: Rules of Thumb for Choosing Indexes</w:t>
      </w:r>
    </w:p>
    <w:p w14:paraId="009A7063" w14:textId="356AAD4E" w:rsidR="00334D79" w:rsidRPr="00525F62" w:rsidRDefault="00334D79" w:rsidP="00525F62">
      <w:pPr>
        <w:spacing w:line="480" w:lineRule="auto"/>
        <w:ind w:firstLine="720"/>
        <w:rPr>
          <w:rFonts w:ascii="Times New Roman" w:hAnsi="Times New Roman" w:cs="Times New Roman"/>
        </w:rPr>
      </w:pPr>
      <w:r w:rsidRPr="00525F62">
        <w:rPr>
          <w:rFonts w:ascii="Times New Roman" w:hAnsi="Times New Roman" w:cs="Times New Roman"/>
        </w:rPr>
        <w:t xml:space="preserve">When optimizing the video rental streaming database for query performance, selecting appropriate indexes is critical. Four key rules of thumb guide this process. First, index columns </w:t>
      </w:r>
      <w:r w:rsidR="00525F62" w:rsidRPr="00525F62">
        <w:rPr>
          <w:rFonts w:ascii="Times New Roman" w:hAnsi="Times New Roman" w:cs="Times New Roman"/>
        </w:rPr>
        <w:t>are frequently</w:t>
      </w:r>
      <w:r w:rsidRPr="00525F62">
        <w:rPr>
          <w:rFonts w:ascii="Times New Roman" w:hAnsi="Times New Roman" w:cs="Times New Roman"/>
        </w:rPr>
        <w:t xml:space="preserve"> used in WHERE clauses and JOIN conditions. For instance, indexing customer_id in the Rentals table or video_id in the Videos table accelerates lookups and join operations, which are common in queries retrieving rental histories or video details. Without these indexes, the database engine must perform full table scans, resulting in slow query responses. Second, prioritize indexing columns with high selectivity, meaning columns where the indexed values are unique or nearly unique. Primary keys and unique identifiers are ideal candidates. Indexing low-selectivity columns, such as boolean flags or status fields with few distinct values, generally offers little performance gain because the index does not significantly reduce the search space. Third, use composite indexes when queries filter or sort on multiple columns simultaneously. For example, if many queries filter rentals by both customer_id and rental_date, a composite index on these columns can speed up such queries more effectively than separate single-column indexes. Fourth, avoid over-indexing. While indexes improve read performance, they incur overhead during data modifications (INSERT, UPDATE, DELETE) and consume additional storage. Therefore, indexes should be chosen based on careful analysis of query patterns and workload, focusing on the most performance-critical queries. These rules ensure a balanced approach that enhances query speed without degrading write performance or increasing maintenance costs unnecessarily.</w:t>
      </w:r>
    </w:p>
    <w:p w14:paraId="3FD632D9" w14:textId="77777777" w:rsidR="00334D79" w:rsidRPr="00334D79" w:rsidRDefault="00334D79" w:rsidP="00525F62">
      <w:pPr>
        <w:spacing w:line="480" w:lineRule="auto"/>
        <w:jc w:val="center"/>
        <w:rPr>
          <w:rFonts w:ascii="Times New Roman" w:hAnsi="Times New Roman" w:cs="Times New Roman"/>
          <w:b/>
          <w:bCs/>
        </w:rPr>
      </w:pPr>
      <w:r w:rsidRPr="00334D79">
        <w:rPr>
          <w:rFonts w:ascii="Times New Roman" w:hAnsi="Times New Roman" w:cs="Times New Roman"/>
          <w:b/>
          <w:bCs/>
        </w:rPr>
        <w:t>Part 2: Suggestions for Denormalization</w:t>
      </w:r>
    </w:p>
    <w:p w14:paraId="1769811B" w14:textId="5C988B28" w:rsidR="00334D79" w:rsidRPr="00525F62" w:rsidRDefault="00334D79" w:rsidP="00525F62">
      <w:pPr>
        <w:spacing w:line="480" w:lineRule="auto"/>
        <w:ind w:firstLine="720"/>
        <w:rPr>
          <w:rFonts w:ascii="Times New Roman" w:hAnsi="Times New Roman" w:cs="Times New Roman"/>
        </w:rPr>
      </w:pPr>
      <w:r w:rsidRPr="00525F62">
        <w:rPr>
          <w:rFonts w:ascii="Times New Roman" w:hAnsi="Times New Roman" w:cs="Times New Roman"/>
        </w:rPr>
        <w:t xml:space="preserve">Reviewing the logical schema of the video rental streaming store, certain relations may benefit from denormalization to improve query performance before implementation. Typically, a </w:t>
      </w:r>
      <w:r w:rsidRPr="00525F62">
        <w:rPr>
          <w:rFonts w:ascii="Times New Roman" w:hAnsi="Times New Roman" w:cs="Times New Roman"/>
        </w:rPr>
        <w:lastRenderedPageBreak/>
        <w:t>normalized design separates customer information, rental transactions, and video metadata into distinct tables to eliminate redundancy and maintain data integrity. However, queries that frequently retrieve rental history along with video details and customer information may suffer from expensive join operations. De</w:t>
      </w:r>
      <w:r w:rsidR="00525F62">
        <w:rPr>
          <w:rFonts w:ascii="Times New Roman" w:hAnsi="Times New Roman" w:cs="Times New Roman"/>
        </w:rPr>
        <w:t>-</w:t>
      </w:r>
      <w:r w:rsidRPr="00525F62">
        <w:rPr>
          <w:rFonts w:ascii="Times New Roman" w:hAnsi="Times New Roman" w:cs="Times New Roman"/>
        </w:rPr>
        <w:t>normalizing by embedding key video attributes (such as title, genre, and rating) directly into the Rentals table can reduce the number of joins required, speeding up read operations, especially for user-facing features like displaying rental histories or recommendations. Similarly, if video availability or stock status is maintained in a separate inventory table, de</w:t>
      </w:r>
      <w:r w:rsidR="00525F62">
        <w:rPr>
          <w:rFonts w:ascii="Times New Roman" w:hAnsi="Times New Roman" w:cs="Times New Roman"/>
        </w:rPr>
        <w:t>-</w:t>
      </w:r>
      <w:r w:rsidRPr="00525F62">
        <w:rPr>
          <w:rFonts w:ascii="Times New Roman" w:hAnsi="Times New Roman" w:cs="Times New Roman"/>
        </w:rPr>
        <w:t>normalizing availability flags into the Videos table can simplify queries checking stock levels. Another candidate for denormalization is the creation of summary or aggregate tables that precompute rental counts or average ratings per video, which can significantly improve performance for reporting and analytics by avoiding costly runtime calculations. While denormalization introduces redundancy and requires additional synchronization during updates, it is justified when read performance is critical and update frequency is manageable, striking a balance between efficiency and data consistency.</w:t>
      </w:r>
    </w:p>
    <w:p w14:paraId="458AB8AF" w14:textId="77777777" w:rsidR="00334D79" w:rsidRPr="00334D79" w:rsidRDefault="00334D79" w:rsidP="00525F62">
      <w:pPr>
        <w:spacing w:line="480" w:lineRule="auto"/>
        <w:jc w:val="center"/>
        <w:rPr>
          <w:rFonts w:ascii="Times New Roman" w:hAnsi="Times New Roman" w:cs="Times New Roman"/>
          <w:b/>
          <w:bCs/>
        </w:rPr>
      </w:pPr>
      <w:r w:rsidRPr="00334D79">
        <w:rPr>
          <w:rFonts w:ascii="Times New Roman" w:hAnsi="Times New Roman" w:cs="Times New Roman"/>
          <w:b/>
          <w:bCs/>
        </w:rPr>
        <w:t>Part 3: Physical Design and Compliance Regulations</w:t>
      </w:r>
    </w:p>
    <w:p w14:paraId="75DBDD2D" w14:textId="3FC875A1" w:rsidR="00334D79" w:rsidRPr="00334D79" w:rsidRDefault="00334D79" w:rsidP="00525F62">
      <w:pPr>
        <w:spacing w:line="480" w:lineRule="auto"/>
        <w:ind w:firstLine="720"/>
        <w:rPr>
          <w:rFonts w:ascii="Times New Roman" w:hAnsi="Times New Roman" w:cs="Times New Roman"/>
        </w:rPr>
      </w:pPr>
      <w:r w:rsidRPr="00334D79">
        <w:rPr>
          <w:rFonts w:ascii="Times New Roman" w:hAnsi="Times New Roman" w:cs="Times New Roman"/>
        </w:rPr>
        <w:t xml:space="preserve">The </w:t>
      </w:r>
      <w:r w:rsidRPr="00525F62">
        <w:rPr>
          <w:rFonts w:ascii="Times New Roman" w:hAnsi="Times New Roman" w:cs="Times New Roman"/>
        </w:rPr>
        <w:t xml:space="preserve">physical design of a database system is a fundamental factor in ensuring compliance with national regulations such as the Sarbanes-Oxley Act (SOX), which mandates strict controls over data integrity, security, and auditability. Physical design decisions—including data storage methods, indexing strategies, and access controls—directly affect the system’s ability to enforce regulatory requirements. For example, implementing encryption at the physical storage level protects sensitive </w:t>
      </w:r>
      <w:r w:rsidR="00525F62" w:rsidRPr="00525F62">
        <w:rPr>
          <w:rFonts w:ascii="Times New Roman" w:hAnsi="Times New Roman" w:cs="Times New Roman"/>
        </w:rPr>
        <w:t>customers</w:t>
      </w:r>
      <w:r w:rsidRPr="00525F62">
        <w:rPr>
          <w:rFonts w:ascii="Times New Roman" w:hAnsi="Times New Roman" w:cs="Times New Roman"/>
        </w:rPr>
        <w:t xml:space="preserve"> and payment data from unauthorized access, aligning with SOX’s confidentiality mandates. Proper indexing and partitioning facilitate efficient logging and auditing of transactions, enabling timely detection of anomalies or unauthorized changes, which </w:t>
      </w:r>
      <w:r w:rsidRPr="00525F62">
        <w:rPr>
          <w:rFonts w:ascii="Times New Roman" w:hAnsi="Times New Roman" w:cs="Times New Roman"/>
        </w:rPr>
        <w:lastRenderedPageBreak/>
        <w:t>is essential for compliance audits. Additionally, physical design must support robust backup and recovery mechanisms to guarantee data availability and integrity in case of system failures or data corruption, a key compliance requirement. Role-based access control implemented at the physical level restricts data access according to user privileges, preventing unauthorized data manipulation. In essence, a well-designed physical database architecture not only optimizes performance but also ensures that the system meets legal and regulatory standards by safeguarding data integrity, security, and traceability.</w:t>
      </w:r>
    </w:p>
    <w:p w14:paraId="0970A3DD" w14:textId="77777777" w:rsidR="00525F62" w:rsidRDefault="00525F62" w:rsidP="00334D79">
      <w:pPr>
        <w:spacing w:line="480" w:lineRule="auto"/>
        <w:rPr>
          <w:rFonts w:ascii="Times New Roman" w:hAnsi="Times New Roman" w:cs="Times New Roman"/>
          <w:b/>
          <w:bCs/>
        </w:rPr>
      </w:pPr>
    </w:p>
    <w:p w14:paraId="79C96DE9" w14:textId="77777777" w:rsidR="00525F62" w:rsidRDefault="00525F62" w:rsidP="00334D79">
      <w:pPr>
        <w:spacing w:line="480" w:lineRule="auto"/>
        <w:rPr>
          <w:rFonts w:ascii="Times New Roman" w:hAnsi="Times New Roman" w:cs="Times New Roman"/>
          <w:b/>
          <w:bCs/>
        </w:rPr>
      </w:pPr>
    </w:p>
    <w:p w14:paraId="3D9268CB" w14:textId="77777777" w:rsidR="00525F62" w:rsidRDefault="00525F62" w:rsidP="00334D79">
      <w:pPr>
        <w:spacing w:line="480" w:lineRule="auto"/>
        <w:rPr>
          <w:rFonts w:ascii="Times New Roman" w:hAnsi="Times New Roman" w:cs="Times New Roman"/>
          <w:b/>
          <w:bCs/>
        </w:rPr>
      </w:pPr>
    </w:p>
    <w:p w14:paraId="6AD83C0D" w14:textId="77777777" w:rsidR="00525F62" w:rsidRDefault="00525F62" w:rsidP="00334D79">
      <w:pPr>
        <w:spacing w:line="480" w:lineRule="auto"/>
        <w:rPr>
          <w:rFonts w:ascii="Times New Roman" w:hAnsi="Times New Roman" w:cs="Times New Roman"/>
          <w:b/>
          <w:bCs/>
        </w:rPr>
      </w:pPr>
    </w:p>
    <w:p w14:paraId="73A03BA3" w14:textId="77777777" w:rsidR="00525F62" w:rsidRDefault="00525F62" w:rsidP="00334D79">
      <w:pPr>
        <w:spacing w:line="480" w:lineRule="auto"/>
        <w:rPr>
          <w:rFonts w:ascii="Times New Roman" w:hAnsi="Times New Roman" w:cs="Times New Roman"/>
          <w:b/>
          <w:bCs/>
        </w:rPr>
      </w:pPr>
    </w:p>
    <w:p w14:paraId="1E916E96" w14:textId="77777777" w:rsidR="00525F62" w:rsidRDefault="00525F62" w:rsidP="00334D79">
      <w:pPr>
        <w:spacing w:line="480" w:lineRule="auto"/>
        <w:rPr>
          <w:rFonts w:ascii="Times New Roman" w:hAnsi="Times New Roman" w:cs="Times New Roman"/>
          <w:b/>
          <w:bCs/>
        </w:rPr>
      </w:pPr>
    </w:p>
    <w:p w14:paraId="1F7FD91B" w14:textId="77777777" w:rsidR="00525F62" w:rsidRDefault="00525F62" w:rsidP="00334D79">
      <w:pPr>
        <w:spacing w:line="480" w:lineRule="auto"/>
        <w:rPr>
          <w:rFonts w:ascii="Times New Roman" w:hAnsi="Times New Roman" w:cs="Times New Roman"/>
          <w:b/>
          <w:bCs/>
        </w:rPr>
      </w:pPr>
    </w:p>
    <w:p w14:paraId="73905581" w14:textId="77777777" w:rsidR="00525F62" w:rsidRDefault="00525F62" w:rsidP="00334D79">
      <w:pPr>
        <w:spacing w:line="480" w:lineRule="auto"/>
        <w:rPr>
          <w:rFonts w:ascii="Times New Roman" w:hAnsi="Times New Roman" w:cs="Times New Roman"/>
          <w:b/>
          <w:bCs/>
        </w:rPr>
      </w:pPr>
    </w:p>
    <w:p w14:paraId="79409354" w14:textId="77777777" w:rsidR="00525F62" w:rsidRDefault="00525F62" w:rsidP="00334D79">
      <w:pPr>
        <w:spacing w:line="480" w:lineRule="auto"/>
        <w:rPr>
          <w:rFonts w:ascii="Times New Roman" w:hAnsi="Times New Roman" w:cs="Times New Roman"/>
          <w:b/>
          <w:bCs/>
        </w:rPr>
      </w:pPr>
    </w:p>
    <w:p w14:paraId="4DD57A60" w14:textId="77777777" w:rsidR="00525F62" w:rsidRDefault="00525F62" w:rsidP="00334D79">
      <w:pPr>
        <w:spacing w:line="480" w:lineRule="auto"/>
        <w:rPr>
          <w:rFonts w:ascii="Times New Roman" w:hAnsi="Times New Roman" w:cs="Times New Roman"/>
          <w:b/>
          <w:bCs/>
        </w:rPr>
      </w:pPr>
    </w:p>
    <w:p w14:paraId="3F361689" w14:textId="77777777" w:rsidR="00525F62" w:rsidRDefault="00525F62" w:rsidP="00334D79">
      <w:pPr>
        <w:spacing w:line="480" w:lineRule="auto"/>
        <w:rPr>
          <w:rFonts w:ascii="Times New Roman" w:hAnsi="Times New Roman" w:cs="Times New Roman"/>
          <w:b/>
          <w:bCs/>
        </w:rPr>
      </w:pPr>
    </w:p>
    <w:p w14:paraId="669BBB9B" w14:textId="77777777" w:rsidR="00525F62" w:rsidRDefault="00525F62" w:rsidP="00334D79">
      <w:pPr>
        <w:spacing w:line="480" w:lineRule="auto"/>
        <w:rPr>
          <w:rFonts w:ascii="Times New Roman" w:hAnsi="Times New Roman" w:cs="Times New Roman"/>
          <w:b/>
          <w:bCs/>
        </w:rPr>
      </w:pPr>
    </w:p>
    <w:p w14:paraId="63FE51FF" w14:textId="77777777" w:rsidR="00525F62" w:rsidRDefault="00525F62" w:rsidP="00334D79">
      <w:pPr>
        <w:spacing w:line="480" w:lineRule="auto"/>
        <w:rPr>
          <w:rFonts w:ascii="Times New Roman" w:hAnsi="Times New Roman" w:cs="Times New Roman"/>
          <w:b/>
          <w:bCs/>
        </w:rPr>
      </w:pPr>
    </w:p>
    <w:p w14:paraId="1A210DE1" w14:textId="7F791A99" w:rsidR="00334D79" w:rsidRPr="00334D79" w:rsidRDefault="00334D79" w:rsidP="00525F62">
      <w:pPr>
        <w:spacing w:line="480" w:lineRule="auto"/>
        <w:jc w:val="center"/>
        <w:rPr>
          <w:rFonts w:ascii="Times New Roman" w:hAnsi="Times New Roman" w:cs="Times New Roman"/>
          <w:b/>
          <w:bCs/>
        </w:rPr>
      </w:pPr>
      <w:r w:rsidRPr="00334D79">
        <w:rPr>
          <w:rFonts w:ascii="Times New Roman" w:hAnsi="Times New Roman" w:cs="Times New Roman"/>
          <w:b/>
          <w:bCs/>
        </w:rPr>
        <w:lastRenderedPageBreak/>
        <w:t>References</w:t>
      </w:r>
    </w:p>
    <w:p w14:paraId="011E1E26" w14:textId="77777777" w:rsidR="00334D79" w:rsidRPr="00525F62" w:rsidRDefault="00334D79" w:rsidP="00525F62">
      <w:pPr>
        <w:spacing w:line="480" w:lineRule="auto"/>
        <w:ind w:left="720" w:hanging="720"/>
      </w:pPr>
      <w:r w:rsidRPr="00525F62">
        <w:t>Elmasri, R., &amp; Navathe, S. B. (2015). Fundamentals of Database Systems (7th ed.). Pearson.</w:t>
      </w:r>
    </w:p>
    <w:p w14:paraId="7B774E20" w14:textId="77777777" w:rsidR="00334D79" w:rsidRPr="00525F62" w:rsidRDefault="00334D79" w:rsidP="00525F62">
      <w:pPr>
        <w:spacing w:line="480" w:lineRule="auto"/>
        <w:ind w:left="720" w:hanging="720"/>
      </w:pPr>
      <w:r w:rsidRPr="00525F62">
        <w:t>Silberschatz, A., Korth, H. F., &amp; Sudarshan, S. (2019). Database System Concepts (7th ed.). McGraw-Hill Education.</w:t>
      </w:r>
    </w:p>
    <w:p w14:paraId="2AFD15EB" w14:textId="77777777" w:rsidR="00334D79" w:rsidRPr="00525F62" w:rsidRDefault="00334D79" w:rsidP="00525F62">
      <w:pPr>
        <w:spacing w:line="480" w:lineRule="auto"/>
        <w:ind w:left="720" w:hanging="720"/>
      </w:pPr>
      <w:r w:rsidRPr="00525F62">
        <w:t>Kimball, R., &amp; Ross, M. (2013). The Data Warehouse Toolkit: The Definitive Guide to Dimensional Modeling (3rd ed.). Wiley.</w:t>
      </w:r>
    </w:p>
    <w:p w14:paraId="4A3E93CA" w14:textId="77777777" w:rsidR="00334D79" w:rsidRPr="00525F62" w:rsidRDefault="00334D79" w:rsidP="00525F62">
      <w:pPr>
        <w:spacing w:line="480" w:lineRule="auto"/>
        <w:ind w:left="720" w:hanging="720"/>
      </w:pPr>
      <w:r w:rsidRPr="00525F62">
        <w:t>U.S. Securities and Exchange Commission. (2002). Sarbanes-Oxley Act of 2002.</w:t>
      </w:r>
    </w:p>
    <w:p w14:paraId="0CE90BCB" w14:textId="77777777" w:rsidR="00334D79" w:rsidRPr="00334D79" w:rsidRDefault="00334D79" w:rsidP="00334D79">
      <w:pPr>
        <w:spacing w:line="480" w:lineRule="auto"/>
        <w:rPr>
          <w:rFonts w:ascii="Times New Roman" w:hAnsi="Times New Roman" w:cs="Times New Roman"/>
        </w:rPr>
      </w:pPr>
    </w:p>
    <w:sectPr w:rsidR="00334D79" w:rsidRPr="00334D7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2555A" w14:textId="77777777" w:rsidR="006D5A54" w:rsidRDefault="006D5A54" w:rsidP="00334D79">
      <w:pPr>
        <w:spacing w:after="0" w:line="240" w:lineRule="auto"/>
      </w:pPr>
      <w:r>
        <w:separator/>
      </w:r>
    </w:p>
  </w:endnote>
  <w:endnote w:type="continuationSeparator" w:id="0">
    <w:p w14:paraId="07F5918B" w14:textId="77777777" w:rsidR="006D5A54" w:rsidRDefault="006D5A54" w:rsidP="00334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835D5" w14:textId="77777777" w:rsidR="006D5A54" w:rsidRDefault="006D5A54" w:rsidP="00334D79">
      <w:pPr>
        <w:spacing w:after="0" w:line="240" w:lineRule="auto"/>
      </w:pPr>
      <w:r>
        <w:separator/>
      </w:r>
    </w:p>
  </w:footnote>
  <w:footnote w:type="continuationSeparator" w:id="0">
    <w:p w14:paraId="390F8B55" w14:textId="77777777" w:rsidR="006D5A54" w:rsidRDefault="006D5A54" w:rsidP="00334D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09231353"/>
      <w:docPartObj>
        <w:docPartGallery w:val="Page Numbers (Top of Page)"/>
        <w:docPartUnique/>
      </w:docPartObj>
    </w:sdtPr>
    <w:sdtEndPr>
      <w:rPr>
        <w:b/>
        <w:bCs/>
        <w:noProof/>
        <w:color w:val="auto"/>
        <w:spacing w:val="0"/>
      </w:rPr>
    </w:sdtEndPr>
    <w:sdtContent>
      <w:p w14:paraId="003D2089" w14:textId="5126103B" w:rsidR="00334D79" w:rsidRDefault="00334D79">
        <w:pPr>
          <w:pStyle w:val="Header"/>
          <w:pBdr>
            <w:bottom w:val="single" w:sz="4" w:space="1" w:color="D9D9D9" w:themeColor="background1" w:themeShade="D9"/>
          </w:pBdr>
          <w:jc w:val="right"/>
          <w:rPr>
            <w:b/>
            <w:bCs/>
          </w:rPr>
        </w:pPr>
        <w:r>
          <w:rPr>
            <w:color w:val="7F7F7F" w:themeColor="background1" w:themeShade="7F"/>
            <w:spacing w:val="60"/>
          </w:rPr>
          <w:t xml:space="preserve">KEY DECISIONS IN PHYSICAL DATABASE DESIGN           </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758C9E3C" w14:textId="77777777" w:rsidR="00334D79" w:rsidRDefault="00334D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D4665"/>
    <w:multiLevelType w:val="multilevel"/>
    <w:tmpl w:val="CBE8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940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D79"/>
    <w:rsid w:val="00085E74"/>
    <w:rsid w:val="000F4462"/>
    <w:rsid w:val="001065F6"/>
    <w:rsid w:val="001646E4"/>
    <w:rsid w:val="00263E04"/>
    <w:rsid w:val="002B1ADF"/>
    <w:rsid w:val="00334D79"/>
    <w:rsid w:val="00525F62"/>
    <w:rsid w:val="005415BF"/>
    <w:rsid w:val="00665B37"/>
    <w:rsid w:val="006D5A54"/>
    <w:rsid w:val="007B3281"/>
    <w:rsid w:val="008614F6"/>
    <w:rsid w:val="00E07DE4"/>
    <w:rsid w:val="00F46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54824"/>
  <w15:chartTrackingRefBased/>
  <w15:docId w15:val="{88057B6B-807B-45A0-A980-5C4537B36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34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34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D79"/>
    <w:rPr>
      <w:rFonts w:eastAsiaTheme="majorEastAsia" w:cstheme="majorBidi"/>
      <w:color w:val="272727" w:themeColor="text1" w:themeTint="D8"/>
    </w:rPr>
  </w:style>
  <w:style w:type="paragraph" w:styleId="Title">
    <w:name w:val="Title"/>
    <w:basedOn w:val="Normal"/>
    <w:next w:val="Normal"/>
    <w:link w:val="TitleChar"/>
    <w:uiPriority w:val="10"/>
    <w:qFormat/>
    <w:rsid w:val="00334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D79"/>
    <w:pPr>
      <w:spacing w:before="160"/>
      <w:jc w:val="center"/>
    </w:pPr>
    <w:rPr>
      <w:i/>
      <w:iCs/>
      <w:color w:val="404040" w:themeColor="text1" w:themeTint="BF"/>
    </w:rPr>
  </w:style>
  <w:style w:type="character" w:customStyle="1" w:styleId="QuoteChar">
    <w:name w:val="Quote Char"/>
    <w:basedOn w:val="DefaultParagraphFont"/>
    <w:link w:val="Quote"/>
    <w:uiPriority w:val="29"/>
    <w:rsid w:val="00334D79"/>
    <w:rPr>
      <w:i/>
      <w:iCs/>
      <w:color w:val="404040" w:themeColor="text1" w:themeTint="BF"/>
    </w:rPr>
  </w:style>
  <w:style w:type="paragraph" w:styleId="ListParagraph">
    <w:name w:val="List Paragraph"/>
    <w:basedOn w:val="Normal"/>
    <w:uiPriority w:val="34"/>
    <w:qFormat/>
    <w:rsid w:val="00334D79"/>
    <w:pPr>
      <w:ind w:left="720"/>
      <w:contextualSpacing/>
    </w:pPr>
  </w:style>
  <w:style w:type="character" w:styleId="IntenseEmphasis">
    <w:name w:val="Intense Emphasis"/>
    <w:basedOn w:val="DefaultParagraphFont"/>
    <w:uiPriority w:val="21"/>
    <w:qFormat/>
    <w:rsid w:val="00334D79"/>
    <w:rPr>
      <w:i/>
      <w:iCs/>
      <w:color w:val="0F4761" w:themeColor="accent1" w:themeShade="BF"/>
    </w:rPr>
  </w:style>
  <w:style w:type="paragraph" w:styleId="IntenseQuote">
    <w:name w:val="Intense Quote"/>
    <w:basedOn w:val="Normal"/>
    <w:next w:val="Normal"/>
    <w:link w:val="IntenseQuoteChar"/>
    <w:uiPriority w:val="30"/>
    <w:qFormat/>
    <w:rsid w:val="00334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D79"/>
    <w:rPr>
      <w:i/>
      <w:iCs/>
      <w:color w:val="0F4761" w:themeColor="accent1" w:themeShade="BF"/>
    </w:rPr>
  </w:style>
  <w:style w:type="character" w:styleId="IntenseReference">
    <w:name w:val="Intense Reference"/>
    <w:basedOn w:val="DefaultParagraphFont"/>
    <w:uiPriority w:val="32"/>
    <w:qFormat/>
    <w:rsid w:val="00334D79"/>
    <w:rPr>
      <w:b/>
      <w:bCs/>
      <w:smallCaps/>
      <w:color w:val="0F4761" w:themeColor="accent1" w:themeShade="BF"/>
      <w:spacing w:val="5"/>
    </w:rPr>
  </w:style>
  <w:style w:type="paragraph" w:styleId="Header">
    <w:name w:val="header"/>
    <w:basedOn w:val="Normal"/>
    <w:link w:val="HeaderChar"/>
    <w:uiPriority w:val="99"/>
    <w:unhideWhenUsed/>
    <w:rsid w:val="00334D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4D79"/>
  </w:style>
  <w:style w:type="paragraph" w:styleId="Footer">
    <w:name w:val="footer"/>
    <w:basedOn w:val="Normal"/>
    <w:link w:val="FooterChar"/>
    <w:uiPriority w:val="99"/>
    <w:unhideWhenUsed/>
    <w:rsid w:val="00334D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4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777</Words>
  <Characters>4431</Characters>
  <Application>Microsoft Office Word</Application>
  <DocSecurity>0</DocSecurity>
  <Lines>36</Lines>
  <Paragraphs>10</Paragraphs>
  <ScaleCrop>false</ScaleCrop>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2026-08-15T02:57:00Z</dcterms:created>
  <dcterms:modified xsi:type="dcterms:W3CDTF">2026-08-17T00:24:00Z</dcterms:modified>
</cp:coreProperties>
</file>