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D701" w14:textId="77777777" w:rsidR="000F4462" w:rsidRPr="006A2096" w:rsidRDefault="000F4462" w:rsidP="006A2096">
      <w:pPr>
        <w:spacing w:line="480" w:lineRule="auto"/>
        <w:jc w:val="center"/>
        <w:rPr>
          <w:rFonts w:ascii="Times New Roman" w:hAnsi="Times New Roman" w:cs="Times New Roman"/>
        </w:rPr>
      </w:pPr>
    </w:p>
    <w:p w14:paraId="32D56EED" w14:textId="77777777" w:rsidR="006A2096" w:rsidRPr="006A2096" w:rsidRDefault="006A2096" w:rsidP="006A2096">
      <w:pPr>
        <w:spacing w:line="480" w:lineRule="auto"/>
        <w:rPr>
          <w:rFonts w:ascii="Times New Roman" w:hAnsi="Times New Roman" w:cs="Times New Roman"/>
        </w:rPr>
      </w:pPr>
    </w:p>
    <w:p w14:paraId="35998409" w14:textId="77777777" w:rsidR="006A2096" w:rsidRPr="006A2096" w:rsidRDefault="006A2096" w:rsidP="006A2096">
      <w:pPr>
        <w:spacing w:line="480" w:lineRule="auto"/>
        <w:jc w:val="center"/>
        <w:rPr>
          <w:rFonts w:ascii="Times New Roman" w:hAnsi="Times New Roman" w:cs="Times New Roman"/>
        </w:rPr>
      </w:pPr>
    </w:p>
    <w:p w14:paraId="71527FA7" w14:textId="77777777" w:rsidR="006A2096" w:rsidRPr="006A2096" w:rsidRDefault="006A2096" w:rsidP="006A2096">
      <w:pPr>
        <w:spacing w:line="480" w:lineRule="auto"/>
        <w:jc w:val="center"/>
        <w:rPr>
          <w:rFonts w:ascii="Times New Roman" w:hAnsi="Times New Roman" w:cs="Times New Roman"/>
        </w:rPr>
      </w:pPr>
    </w:p>
    <w:p w14:paraId="3F2624DD" w14:textId="77777777" w:rsidR="006A2096" w:rsidRPr="006A2096" w:rsidRDefault="006A2096" w:rsidP="006A2096">
      <w:pPr>
        <w:spacing w:line="480" w:lineRule="auto"/>
        <w:jc w:val="center"/>
        <w:rPr>
          <w:rFonts w:ascii="Times New Roman" w:hAnsi="Times New Roman" w:cs="Times New Roman"/>
        </w:rPr>
      </w:pPr>
    </w:p>
    <w:p w14:paraId="65A829FA" w14:textId="77777777" w:rsidR="006A2096" w:rsidRPr="006A2096" w:rsidRDefault="006A2096" w:rsidP="006A2096">
      <w:pPr>
        <w:spacing w:line="480" w:lineRule="auto"/>
        <w:jc w:val="center"/>
        <w:rPr>
          <w:rFonts w:ascii="Times New Roman" w:hAnsi="Times New Roman" w:cs="Times New Roman"/>
        </w:rPr>
      </w:pPr>
    </w:p>
    <w:p w14:paraId="07770E12" w14:textId="77777777" w:rsidR="006A2096" w:rsidRPr="006A2096" w:rsidRDefault="006A2096" w:rsidP="006A2096">
      <w:pPr>
        <w:spacing w:line="480" w:lineRule="auto"/>
        <w:jc w:val="center"/>
        <w:rPr>
          <w:rFonts w:ascii="Times New Roman" w:hAnsi="Times New Roman" w:cs="Times New Roman"/>
        </w:rPr>
      </w:pPr>
    </w:p>
    <w:p w14:paraId="6F56D791" w14:textId="0D55FFD4" w:rsidR="006A2096" w:rsidRPr="006A2096" w:rsidRDefault="006A2096" w:rsidP="006A2096">
      <w:pPr>
        <w:spacing w:line="480" w:lineRule="auto"/>
        <w:jc w:val="center"/>
        <w:rPr>
          <w:rFonts w:ascii="Times New Roman" w:hAnsi="Times New Roman" w:cs="Times New Roman"/>
        </w:rPr>
      </w:pPr>
      <w:r w:rsidRPr="006A2096">
        <w:rPr>
          <w:rFonts w:ascii="Times New Roman" w:hAnsi="Times New Roman" w:cs="Times New Roman"/>
        </w:rPr>
        <w:t>Peer Reviews Research</w:t>
      </w:r>
    </w:p>
    <w:p w14:paraId="48E59935" w14:textId="5C7347A3" w:rsidR="006A2096" w:rsidRPr="006A2096" w:rsidRDefault="006A2096" w:rsidP="006A2096">
      <w:pPr>
        <w:spacing w:line="480" w:lineRule="auto"/>
        <w:jc w:val="center"/>
        <w:rPr>
          <w:rFonts w:ascii="Times New Roman" w:hAnsi="Times New Roman" w:cs="Times New Roman"/>
        </w:rPr>
      </w:pPr>
      <w:r w:rsidRPr="006A2096">
        <w:rPr>
          <w:rFonts w:ascii="Times New Roman" w:hAnsi="Times New Roman" w:cs="Times New Roman"/>
        </w:rPr>
        <w:t>Ryan Coon</w:t>
      </w:r>
    </w:p>
    <w:p w14:paraId="2CD4C075" w14:textId="38A60510" w:rsidR="006A2096" w:rsidRPr="006A2096" w:rsidRDefault="006A2096" w:rsidP="006A2096">
      <w:pPr>
        <w:spacing w:line="480" w:lineRule="auto"/>
        <w:jc w:val="center"/>
        <w:rPr>
          <w:rFonts w:ascii="Times New Roman" w:hAnsi="Times New Roman" w:cs="Times New Roman"/>
        </w:rPr>
      </w:pPr>
      <w:r w:rsidRPr="006A2096">
        <w:rPr>
          <w:rFonts w:ascii="Times New Roman" w:hAnsi="Times New Roman" w:cs="Times New Roman"/>
        </w:rPr>
        <w:t>SDD-610</w:t>
      </w:r>
    </w:p>
    <w:p w14:paraId="762C5558" w14:textId="228504B7" w:rsidR="006A2096" w:rsidRPr="006A2096" w:rsidRDefault="006A2096" w:rsidP="006A2096">
      <w:pPr>
        <w:spacing w:line="480" w:lineRule="auto"/>
        <w:jc w:val="center"/>
        <w:rPr>
          <w:rFonts w:ascii="Times New Roman" w:hAnsi="Times New Roman" w:cs="Times New Roman"/>
        </w:rPr>
      </w:pPr>
      <w:r w:rsidRPr="006A2096">
        <w:rPr>
          <w:rFonts w:ascii="Times New Roman" w:hAnsi="Times New Roman" w:cs="Times New Roman"/>
        </w:rPr>
        <w:t>Professor Adam Hardin</w:t>
      </w:r>
    </w:p>
    <w:p w14:paraId="3D2F5136" w14:textId="231E0E8B" w:rsidR="006A2096" w:rsidRPr="006A2096" w:rsidRDefault="006A2096" w:rsidP="006A2096">
      <w:pPr>
        <w:spacing w:line="480" w:lineRule="auto"/>
        <w:jc w:val="center"/>
        <w:rPr>
          <w:rFonts w:ascii="Times New Roman" w:hAnsi="Times New Roman" w:cs="Times New Roman"/>
        </w:rPr>
      </w:pPr>
      <w:r w:rsidRPr="006A2096">
        <w:rPr>
          <w:rFonts w:ascii="Times New Roman" w:hAnsi="Times New Roman" w:cs="Times New Roman"/>
        </w:rPr>
        <w:t>March 25, 2026</w:t>
      </w:r>
    </w:p>
    <w:p w14:paraId="072B1616" w14:textId="77777777" w:rsidR="006A2096" w:rsidRPr="006A2096" w:rsidRDefault="006A2096" w:rsidP="006A2096">
      <w:pPr>
        <w:spacing w:line="480" w:lineRule="auto"/>
        <w:rPr>
          <w:rFonts w:ascii="Times New Roman" w:hAnsi="Times New Roman" w:cs="Times New Roman"/>
        </w:rPr>
      </w:pPr>
    </w:p>
    <w:p w14:paraId="273734A9" w14:textId="77777777" w:rsidR="006A2096" w:rsidRPr="006A2096" w:rsidRDefault="006A2096" w:rsidP="006A2096">
      <w:pPr>
        <w:spacing w:line="480" w:lineRule="auto"/>
        <w:rPr>
          <w:rFonts w:ascii="Times New Roman" w:hAnsi="Times New Roman" w:cs="Times New Roman"/>
        </w:rPr>
      </w:pPr>
    </w:p>
    <w:p w14:paraId="75F44F4A" w14:textId="77777777" w:rsidR="006A2096" w:rsidRPr="006A2096" w:rsidRDefault="006A2096" w:rsidP="006A2096">
      <w:pPr>
        <w:spacing w:line="480" w:lineRule="auto"/>
        <w:rPr>
          <w:rFonts w:ascii="Times New Roman" w:hAnsi="Times New Roman" w:cs="Times New Roman"/>
        </w:rPr>
      </w:pPr>
    </w:p>
    <w:p w14:paraId="738D5215" w14:textId="77777777" w:rsidR="006A2096" w:rsidRPr="006A2096" w:rsidRDefault="006A2096" w:rsidP="006A2096">
      <w:pPr>
        <w:spacing w:line="480" w:lineRule="auto"/>
        <w:rPr>
          <w:rFonts w:ascii="Times New Roman" w:hAnsi="Times New Roman" w:cs="Times New Roman"/>
        </w:rPr>
      </w:pPr>
    </w:p>
    <w:p w14:paraId="115B4379" w14:textId="77777777" w:rsidR="006A2096" w:rsidRPr="006A2096" w:rsidRDefault="006A2096" w:rsidP="006A2096">
      <w:pPr>
        <w:spacing w:line="480" w:lineRule="auto"/>
        <w:rPr>
          <w:rFonts w:ascii="Times New Roman" w:hAnsi="Times New Roman" w:cs="Times New Roman"/>
        </w:rPr>
      </w:pPr>
    </w:p>
    <w:p w14:paraId="091B7855" w14:textId="77777777" w:rsidR="006A2096" w:rsidRPr="006A2096" w:rsidRDefault="006A2096" w:rsidP="006A2096">
      <w:pPr>
        <w:spacing w:line="480" w:lineRule="auto"/>
        <w:rPr>
          <w:rFonts w:ascii="Times New Roman" w:hAnsi="Times New Roman" w:cs="Times New Roman"/>
        </w:rPr>
      </w:pPr>
    </w:p>
    <w:p w14:paraId="19F19971" w14:textId="4471EDFB" w:rsidR="006A2096" w:rsidRPr="006A2096" w:rsidRDefault="006A2096" w:rsidP="006A2096">
      <w:pPr>
        <w:spacing w:line="480" w:lineRule="auto"/>
        <w:jc w:val="center"/>
        <w:rPr>
          <w:rFonts w:ascii="Times New Roman" w:hAnsi="Times New Roman" w:cs="Times New Roman"/>
          <w:b/>
          <w:bCs/>
        </w:rPr>
      </w:pPr>
      <w:r w:rsidRPr="006A2096">
        <w:rPr>
          <w:rFonts w:ascii="Times New Roman" w:hAnsi="Times New Roman" w:cs="Times New Roman"/>
          <w:b/>
          <w:bCs/>
        </w:rPr>
        <w:lastRenderedPageBreak/>
        <w:t>Part 1: Research on Peer Reviews</w:t>
      </w:r>
    </w:p>
    <w:p w14:paraId="2818FF74"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 xml:space="preserve">Choosing JavaScript as the programming language and React as the web framework provides a practical context for outlining how a company can conduct effective Technical Design Peer Reviews and Code Peer Reviews. JavaScript’s ubiquity in web development and </w:t>
      </w:r>
      <w:proofErr w:type="spellStart"/>
      <w:r w:rsidRPr="006A2096">
        <w:rPr>
          <w:rFonts w:ascii="Times New Roman" w:hAnsi="Times New Roman" w:cs="Times New Roman"/>
        </w:rPr>
        <w:t>React’s</w:t>
      </w:r>
      <w:proofErr w:type="spellEnd"/>
      <w:r w:rsidRPr="006A2096">
        <w:rPr>
          <w:rFonts w:ascii="Times New Roman" w:hAnsi="Times New Roman" w:cs="Times New Roman"/>
        </w:rPr>
        <w:t xml:space="preserve"> component-based architecture make them ideal for illustrating peer review processes that emphasize collaboration, quality, and maintainability. Conducting peer reviews in this environment requires a structured approach that integrates clear processes, appropriate tools, and well-defined policies to ensure that design and code meet both technical and business requirements.</w:t>
      </w:r>
    </w:p>
    <w:p w14:paraId="620CDCE1"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 xml:space="preserve">The process of conducting a Technical Design Peer Review begins well before any code is written. It involves preparing a detailed design document that articulates the system’s architecture, key components, data flow, and the rationale behind major design decisions. In the context of React and JavaScript, this might include explanations of component hierarchies, state management strategies (such as using Redux or Context API), and decisions around performance optimization or scalability. The design document should also address non-functional requirements like security, maintainability, and extensibility. Once the design is prepared, the review team, typically comprising architects, senior developers, QA representatives, and sometimes product managers, convenes to evaluate the proposal. The review session is ideally structured to start with a high-level overview that contextualizes the business problem and the proposed solution, ensuring that all participants, regardless of technical background, understand the purpose and expected benefits. Following this, the discussion delves into technical specifics, where reviewers critically assess the design’s alignment with established principles such as modularity, separation of concerns, and reusability—principles that are particularly relevant </w:t>
      </w:r>
      <w:r w:rsidRPr="006A2096">
        <w:rPr>
          <w:rFonts w:ascii="Times New Roman" w:hAnsi="Times New Roman" w:cs="Times New Roman"/>
        </w:rPr>
        <w:lastRenderedPageBreak/>
        <w:t>in </w:t>
      </w:r>
      <w:proofErr w:type="spellStart"/>
      <w:r w:rsidRPr="006A2096">
        <w:rPr>
          <w:rFonts w:ascii="Times New Roman" w:hAnsi="Times New Roman" w:cs="Times New Roman"/>
        </w:rPr>
        <w:t>React’s</w:t>
      </w:r>
      <w:proofErr w:type="spellEnd"/>
      <w:r w:rsidRPr="006A2096">
        <w:rPr>
          <w:rFonts w:ascii="Times New Roman" w:hAnsi="Times New Roman" w:cs="Times New Roman"/>
        </w:rPr>
        <w:t xml:space="preserve"> component-driven paradigm. Throughout the review, feedback is documented meticulously, capturing concerns, alternative suggestions, and potential risks. This documentation is essential for transparency and for guiding subsequent revisions. The design author then revises the proposal based on the feedback, and if disagreements persist, escalation to a technical lead or architect ensures resolution. This iterative process fosters a culture of collaboration and continuous improvement, which is vital for complex projects.</w:t>
      </w:r>
    </w:p>
    <w:p w14:paraId="2282987B"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To facilitate this process, companies leverage a variety of tools. Collaborative documentation platforms like Confluence or Notion enable teams to co-author and review design documents asynchronously, allowing reviewers to prepare ahead of meetings. Diagramming tools such as </w:t>
      </w:r>
      <w:proofErr w:type="spellStart"/>
      <w:r w:rsidRPr="006A2096">
        <w:rPr>
          <w:rFonts w:ascii="Times New Roman" w:hAnsi="Times New Roman" w:cs="Times New Roman"/>
        </w:rPr>
        <w:t>Lucidchart</w:t>
      </w:r>
      <w:proofErr w:type="spellEnd"/>
      <w:r w:rsidRPr="006A2096">
        <w:rPr>
          <w:rFonts w:ascii="Times New Roman" w:hAnsi="Times New Roman" w:cs="Times New Roman"/>
        </w:rPr>
        <w:t> or Figma help visualize component interactions, data flows, and system architecture, making abstract concepts more tangible. Issue tracking systems like Jira or GitHub Issues serve as repositories for feedback and action items, ensuring that every concern is tracked and addressed. Communication tools such as Zoom or Microsoft Teams support synchronous discussions, especially important for remote or distributed teams. These tools collectively create an environment where design reviews are thorough, inclusive, and efficient.</w:t>
      </w:r>
    </w:p>
    <w:p w14:paraId="07205A03"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Policies governing Technical Design Peer Reviews are equally important to maintain consistency and professionalism. A common policy is to require that design documents be shared at least 48 hours before the review meeting, giving reviewers adequate time to prepare. Reviews are time-boxed to maintain focus and prevent fatigue, typically lasting between 60 to 90 minutes. Feedback must be constructive and objective, focusing on design principles and project goals rather than personal preferences. Decisions are ideally consensus-driven, but clear escalation paths must exist for unresolved conflicts. These policies help create a respectful and productive review culture that values diverse perspectives while aligning on shared objectives.</w:t>
      </w:r>
    </w:p>
    <w:p w14:paraId="7F29E8D2" w14:textId="77777777" w:rsidR="006A2096" w:rsidRPr="006A2096" w:rsidRDefault="006A2096" w:rsidP="006A2096">
      <w:pPr>
        <w:spacing w:line="480" w:lineRule="auto"/>
        <w:rPr>
          <w:rFonts w:ascii="Times New Roman" w:hAnsi="Times New Roman" w:cs="Times New Roman"/>
        </w:rPr>
      </w:pPr>
      <w:r w:rsidRPr="006A2096">
        <w:rPr>
          <w:rFonts w:ascii="Times New Roman" w:hAnsi="Times New Roman" w:cs="Times New Roman"/>
        </w:rPr>
        <w:lastRenderedPageBreak/>
        <w:t>Parallel to design reviews, Code Peer Reviews are critical for ensuring that the implementation faithfully follows the approved design and meets quality standards. In a JavaScript and React environment, code reviews focus on verifying that components are well-structured, reusable, and adhere to best practices such as avoiding side effects in render methods and properly managing state. The process typically begins when a developer submits a pull request (PR) through a version control system like GitHub or GitLab. The PR includes a description of the changes, references to related design documents or tickets, and sometimes screenshots or demos of UI changes. Before human review, automated tools run static analysis and linting (using </w:t>
      </w:r>
      <w:proofErr w:type="spellStart"/>
      <w:r w:rsidRPr="006A2096">
        <w:rPr>
          <w:rFonts w:ascii="Times New Roman" w:hAnsi="Times New Roman" w:cs="Times New Roman"/>
        </w:rPr>
        <w:t>ESLint</w:t>
      </w:r>
      <w:proofErr w:type="spellEnd"/>
      <w:r w:rsidRPr="006A2096">
        <w:rPr>
          <w:rFonts w:ascii="Times New Roman" w:hAnsi="Times New Roman" w:cs="Times New Roman"/>
        </w:rPr>
        <w:t>, for example) to catch style violations and common errors early. Continuous integration (CI) pipelines execute unit tests and integration tests to ensure that new code does not break existing functionality.</w:t>
      </w:r>
    </w:p>
    <w:p w14:paraId="05D5C84A" w14:textId="77777777" w:rsidR="006A2096" w:rsidRPr="006A2096" w:rsidRDefault="006A2096" w:rsidP="006A2096">
      <w:pPr>
        <w:spacing w:line="480" w:lineRule="auto"/>
        <w:ind w:firstLine="720"/>
        <w:rPr>
          <w:rFonts w:ascii="Times New Roman" w:hAnsi="Times New Roman" w:cs="Times New Roman"/>
        </w:rPr>
      </w:pPr>
      <w:proofErr w:type="gramStart"/>
      <w:r w:rsidRPr="006A2096">
        <w:rPr>
          <w:rFonts w:ascii="Times New Roman" w:hAnsi="Times New Roman" w:cs="Times New Roman"/>
        </w:rPr>
        <w:t>Reviewers,</w:t>
      </w:r>
      <w:proofErr w:type="gramEnd"/>
      <w:r w:rsidRPr="006A2096">
        <w:rPr>
          <w:rFonts w:ascii="Times New Roman" w:hAnsi="Times New Roman" w:cs="Times New Roman"/>
        </w:rPr>
        <w:t xml:space="preserve"> assigned based on expertise and availability, then examine the code for correctness, readability, security, and performance. They provide feedback through inline comments, requesting changes or approving the PR. The iterative dialogue between author and reviewers continues until the code meets the team’s quality standards. Once approved, the code is merged into the main branch, and monitoring tools track post-deployment behavior to catch any unforeseen issues. This process not only improves code quality but also facilitates knowledge sharing and collective code ownership, which are essential for long-term maintainability.</w:t>
      </w:r>
    </w:p>
    <w:p w14:paraId="75716611"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The tools supporting Code Peer Reviews are tightly integrated with the development workflow. GitHub and GitLab provide built-in PR review interfaces that allow inline commenting and approval workflows. CI/CD platforms like Jenkins, </w:t>
      </w:r>
      <w:proofErr w:type="spellStart"/>
      <w:r w:rsidRPr="006A2096">
        <w:rPr>
          <w:rFonts w:ascii="Times New Roman" w:hAnsi="Times New Roman" w:cs="Times New Roman"/>
        </w:rPr>
        <w:t>CircleCI</w:t>
      </w:r>
      <w:proofErr w:type="spellEnd"/>
      <w:r w:rsidRPr="006A2096">
        <w:rPr>
          <w:rFonts w:ascii="Times New Roman" w:hAnsi="Times New Roman" w:cs="Times New Roman"/>
        </w:rPr>
        <w:t xml:space="preserve">, or GitHub Actions automate testing and deployment, ensuring that code changes are validated continuously. Static analysis tools such as SonarQube provide deeper insights into code quality metrics, </w:t>
      </w:r>
      <w:r w:rsidRPr="006A2096">
        <w:rPr>
          <w:rFonts w:ascii="Times New Roman" w:hAnsi="Times New Roman" w:cs="Times New Roman"/>
        </w:rPr>
        <w:lastRenderedPageBreak/>
        <w:t>security vulnerabilities, and technical debt. These tools help maintain high standards while enabling rapid development cycles.</w:t>
      </w:r>
    </w:p>
    <w:p w14:paraId="1A659A4E"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Policies for Code Peer Reviews emphasize mandatory review before merging, with at least one peer approval required. Reviews should focus on substantive issues such as logic correctness, security implications, and adherence to the approved design, rather than superficial style concerns, which are often handled by automated linters. To keep reviews manageable and effective, large changes should be broken into smaller, focused PRs. Reviewers are expected to provide respectful, actionable feedback, and turnaround times are defined to avoid bottlenecks. For critical or high-risk changes, multiple reviewers or senior approvals may be mandated. These policies ensure that code reviews contribute positively to product quality without impeding development velocity.</w:t>
      </w:r>
    </w:p>
    <w:p w14:paraId="46DD6D30" w14:textId="77777777" w:rsidR="006A2096" w:rsidRPr="006A2096" w:rsidRDefault="006A2096" w:rsidP="006A2096">
      <w:pPr>
        <w:spacing w:line="480" w:lineRule="auto"/>
        <w:ind w:firstLine="720"/>
        <w:rPr>
          <w:rFonts w:ascii="Times New Roman" w:hAnsi="Times New Roman" w:cs="Times New Roman"/>
        </w:rPr>
      </w:pPr>
      <w:r w:rsidRPr="006A2096">
        <w:rPr>
          <w:rFonts w:ascii="Times New Roman" w:hAnsi="Times New Roman" w:cs="Times New Roman"/>
        </w:rPr>
        <w:t xml:space="preserve">In conclusion, conducting Technical Design and Code Peer Reviews in a JavaScript and React environment requires a well-defined process, the right set of tools, and clear policies that promote collaboration, quality, and continuous learning. Design reviews set the architectural foundation and align the team </w:t>
      </w:r>
      <w:proofErr w:type="gramStart"/>
      <w:r w:rsidRPr="006A2096">
        <w:rPr>
          <w:rFonts w:ascii="Times New Roman" w:hAnsi="Times New Roman" w:cs="Times New Roman"/>
        </w:rPr>
        <w:t>on</w:t>
      </w:r>
      <w:proofErr w:type="gramEnd"/>
      <w:r w:rsidRPr="006A2096">
        <w:rPr>
          <w:rFonts w:ascii="Times New Roman" w:hAnsi="Times New Roman" w:cs="Times New Roman"/>
        </w:rPr>
        <w:t xml:space="preserve"> goals and constraints, while code reviews ensure that implementations meet these expectations and maintain high standards. Together, these practices foster a culture of excellence and shared responsibility, which is crucial for delivering robust, scalable, and maintainable software systems.</w:t>
      </w:r>
    </w:p>
    <w:p w14:paraId="2670683E" w14:textId="4E12379C" w:rsidR="006A2096" w:rsidRDefault="006A2096" w:rsidP="006A2096">
      <w:pPr>
        <w:spacing w:line="480" w:lineRule="auto"/>
        <w:jc w:val="center"/>
        <w:rPr>
          <w:rFonts w:ascii="Times New Roman" w:hAnsi="Times New Roman" w:cs="Times New Roman"/>
          <w:b/>
          <w:bCs/>
        </w:rPr>
      </w:pPr>
      <w:r>
        <w:rPr>
          <w:rFonts w:ascii="Times New Roman" w:hAnsi="Times New Roman" w:cs="Times New Roman"/>
          <w:b/>
          <w:bCs/>
        </w:rPr>
        <w:t>Part 2: Research Question from the Textbook</w:t>
      </w:r>
    </w:p>
    <w:p w14:paraId="21744141" w14:textId="36D2CB87" w:rsidR="006A2096" w:rsidRDefault="009F6151" w:rsidP="006A2096">
      <w:pPr>
        <w:spacing w:line="480" w:lineRule="auto"/>
        <w:rPr>
          <w:rFonts w:ascii="Times New Roman" w:hAnsi="Times New Roman" w:cs="Times New Roman"/>
        </w:rPr>
      </w:pPr>
      <w:r w:rsidRPr="009F6151">
        <w:rPr>
          <w:rFonts w:ascii="Times New Roman" w:hAnsi="Times New Roman" w:cs="Times New Roman"/>
        </w:rPr>
        <w:t xml:space="preserve">To confirm that developers and maintainers have remained faithful to an architecture over the lifetime of a system, a systematic reconstruction and auditing process is essential. This process begins with architectural reconstruction, which involves extracting architectural information </w:t>
      </w:r>
      <w:r w:rsidRPr="009F6151">
        <w:rPr>
          <w:rFonts w:ascii="Times New Roman" w:hAnsi="Times New Roman" w:cs="Times New Roman"/>
        </w:rPr>
        <w:lastRenderedPageBreak/>
        <w:t>from the existing system artifacts such as source code, configuration files, documentation, and version control history. Techniques like static code analysis, architectural recovery tools, and dependency analysis can be employed to rebuild a model of the current system architecture. This reconstructed architecture is then compared against the original architectural design and documented principles to identify deviations or architectural drift. Auditing involves a thorough examination of both the reconstructed architecture and the development practices to ensure compliance with architectural standards, design patterns, and non-functional requirements such as scalability and security. This can be supported by automated tools that continuously monitor code quality and architectural conformance, such as SonarQube or Structure101, which provide metrics and visualizations highlighting architectural violations or erosion. Additionally, reviewing commit histories and pull requests in version control systems helps trace when and why architectural changes occurred, providing context for deviations. Regular architectural reviews and audits, integrated into the development lifecycle, reinforce adherence by catching divergences early and promoting corrective actions. This approach aligns with best practices in software maintenance and evolution, emphasizing the importance of continuous architectural governance to sustain system integrity over time (</w:t>
      </w:r>
      <w:proofErr w:type="spellStart"/>
      <w:r w:rsidRPr="009F6151">
        <w:rPr>
          <w:rFonts w:ascii="Times New Roman" w:hAnsi="Times New Roman" w:cs="Times New Roman"/>
        </w:rPr>
        <w:t>Kazman</w:t>
      </w:r>
      <w:proofErr w:type="spellEnd"/>
      <w:r w:rsidRPr="009F6151">
        <w:rPr>
          <w:rFonts w:ascii="Times New Roman" w:hAnsi="Times New Roman" w:cs="Times New Roman"/>
        </w:rPr>
        <w:t> et al., 1994; Bosch, 2000). By combining reconstruction techniques with ongoing auditing and developer engagement, organizations can maintain architectural fidelity, ensuring that the system remains robust, maintainable, and aligned with its original design goals.</w:t>
      </w:r>
    </w:p>
    <w:p w14:paraId="6F719939" w14:textId="77777777" w:rsidR="001A2433" w:rsidRDefault="001A2433" w:rsidP="006A2096">
      <w:pPr>
        <w:spacing w:line="480" w:lineRule="auto"/>
        <w:rPr>
          <w:rFonts w:ascii="Times New Roman" w:hAnsi="Times New Roman" w:cs="Times New Roman"/>
        </w:rPr>
      </w:pPr>
    </w:p>
    <w:p w14:paraId="256F26E5" w14:textId="77777777" w:rsidR="001A2433" w:rsidRDefault="001A2433" w:rsidP="006A2096">
      <w:pPr>
        <w:spacing w:line="480" w:lineRule="auto"/>
        <w:rPr>
          <w:rFonts w:ascii="Times New Roman" w:hAnsi="Times New Roman" w:cs="Times New Roman"/>
        </w:rPr>
      </w:pPr>
    </w:p>
    <w:p w14:paraId="00E560F7" w14:textId="77777777" w:rsidR="009F6151" w:rsidRDefault="009F6151" w:rsidP="006A2096">
      <w:pPr>
        <w:spacing w:line="480" w:lineRule="auto"/>
        <w:rPr>
          <w:rFonts w:ascii="Times New Roman" w:hAnsi="Times New Roman" w:cs="Times New Roman"/>
        </w:rPr>
      </w:pPr>
    </w:p>
    <w:p w14:paraId="4467AD4F" w14:textId="62A6EAF4" w:rsidR="001A2433" w:rsidRDefault="001A2433" w:rsidP="001A2433">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FF1A778"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Atlassian. (2025). </w:t>
      </w:r>
      <w:r w:rsidRPr="009F6151">
        <w:rPr>
          <w:rFonts w:ascii="Times New Roman" w:hAnsi="Times New Roman" w:cs="Times New Roman"/>
          <w:i/>
          <w:iCs/>
        </w:rPr>
        <w:t>Technical Documentation with Confluence | Atlassian</w:t>
      </w:r>
      <w:r w:rsidRPr="009F6151">
        <w:rPr>
          <w:rFonts w:ascii="Times New Roman" w:hAnsi="Times New Roman" w:cs="Times New Roman"/>
        </w:rPr>
        <w:t>. Atlassian. https://www.atlassian.com/software/confluence/use-cases/technical-documentation</w:t>
      </w:r>
    </w:p>
    <w:p w14:paraId="34B28155"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Bosch, J. (2007). </w:t>
      </w:r>
      <w:r w:rsidRPr="009F6151">
        <w:rPr>
          <w:rFonts w:ascii="Times New Roman" w:hAnsi="Times New Roman" w:cs="Times New Roman"/>
          <w:i/>
          <w:iCs/>
        </w:rPr>
        <w:t xml:space="preserve">Design and use of software </w:t>
      </w:r>
      <w:proofErr w:type="gramStart"/>
      <w:r w:rsidRPr="009F6151">
        <w:rPr>
          <w:rFonts w:ascii="Times New Roman" w:hAnsi="Times New Roman" w:cs="Times New Roman"/>
          <w:i/>
          <w:iCs/>
        </w:rPr>
        <w:t>architectures :</w:t>
      </w:r>
      <w:proofErr w:type="gramEnd"/>
      <w:r w:rsidRPr="009F6151">
        <w:rPr>
          <w:rFonts w:ascii="Times New Roman" w:hAnsi="Times New Roman" w:cs="Times New Roman"/>
          <w:i/>
          <w:iCs/>
        </w:rPr>
        <w:t xml:space="preserve"> adopting and evolving a product-line approach</w:t>
      </w:r>
      <w:r w:rsidRPr="009F6151">
        <w:rPr>
          <w:rFonts w:ascii="Times New Roman" w:hAnsi="Times New Roman" w:cs="Times New Roman"/>
        </w:rPr>
        <w:t>. Harlow Addison-Wesley.</w:t>
      </w:r>
    </w:p>
    <w:p w14:paraId="3F187272"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Bosu, A., </w:t>
      </w:r>
      <w:proofErr w:type="spellStart"/>
      <w:r w:rsidRPr="009F6151">
        <w:rPr>
          <w:rFonts w:ascii="Times New Roman" w:hAnsi="Times New Roman" w:cs="Times New Roman"/>
        </w:rPr>
        <w:t>Greiler</w:t>
      </w:r>
      <w:proofErr w:type="spellEnd"/>
      <w:r w:rsidRPr="009F6151">
        <w:rPr>
          <w:rFonts w:ascii="Times New Roman" w:hAnsi="Times New Roman" w:cs="Times New Roman"/>
        </w:rPr>
        <w:t xml:space="preserve">, M., &amp; Bird, C. (n.d.). </w:t>
      </w:r>
      <w:r w:rsidRPr="009F6151">
        <w:rPr>
          <w:rFonts w:ascii="Times New Roman" w:hAnsi="Times New Roman" w:cs="Times New Roman"/>
          <w:i/>
          <w:iCs/>
        </w:rPr>
        <w:t>Characteristics of Useful Code Reviews: An Empirical Study at Microsoft</w:t>
      </w:r>
      <w:r w:rsidRPr="009F6151">
        <w:rPr>
          <w:rFonts w:ascii="Times New Roman" w:hAnsi="Times New Roman" w:cs="Times New Roman"/>
        </w:rPr>
        <w:t>. https://www.microsoft.com/en-us/research/wp-content/uploads/2016/02/bosu2015useful.pdf</w:t>
      </w:r>
    </w:p>
    <w:p w14:paraId="27EB4DB7"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Diomidis Spinellis. (2006). </w:t>
      </w:r>
      <w:r w:rsidRPr="009F6151">
        <w:rPr>
          <w:rFonts w:ascii="Times New Roman" w:hAnsi="Times New Roman" w:cs="Times New Roman"/>
          <w:i/>
          <w:iCs/>
        </w:rPr>
        <w:t>Code Quality</w:t>
      </w:r>
      <w:r w:rsidRPr="009F6151">
        <w:rPr>
          <w:rFonts w:ascii="Times New Roman" w:hAnsi="Times New Roman" w:cs="Times New Roman"/>
        </w:rPr>
        <w:t>. Addison-Wesley Professional.</w:t>
      </w:r>
    </w:p>
    <w:p w14:paraId="09113834"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Fowler, M. (2019). </w:t>
      </w:r>
      <w:r w:rsidRPr="009F6151">
        <w:rPr>
          <w:rFonts w:ascii="Times New Roman" w:hAnsi="Times New Roman" w:cs="Times New Roman"/>
          <w:i/>
          <w:iCs/>
        </w:rPr>
        <w:t>Refactoring: Improving the design of existing code</w:t>
      </w:r>
      <w:r w:rsidRPr="009F6151">
        <w:rPr>
          <w:rFonts w:ascii="Times New Roman" w:hAnsi="Times New Roman" w:cs="Times New Roman"/>
        </w:rPr>
        <w:t>. Addison-Wesley.</w:t>
      </w:r>
    </w:p>
    <w:p w14:paraId="74A5EABE"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Guo, G. Y., Atlee, J. M., &amp; </w:t>
      </w:r>
      <w:proofErr w:type="spellStart"/>
      <w:r w:rsidRPr="009F6151">
        <w:rPr>
          <w:rFonts w:ascii="Times New Roman" w:hAnsi="Times New Roman" w:cs="Times New Roman"/>
        </w:rPr>
        <w:t>Kazman</w:t>
      </w:r>
      <w:proofErr w:type="spellEnd"/>
      <w:r w:rsidRPr="009F6151">
        <w:rPr>
          <w:rFonts w:ascii="Times New Roman" w:hAnsi="Times New Roman" w:cs="Times New Roman"/>
        </w:rPr>
        <w:t xml:space="preserve">, R. (1999). A Software Architecture Reconstruction Method. </w:t>
      </w:r>
      <w:r w:rsidRPr="009F6151">
        <w:rPr>
          <w:rFonts w:ascii="Times New Roman" w:hAnsi="Times New Roman" w:cs="Times New Roman"/>
          <w:i/>
          <w:iCs/>
        </w:rPr>
        <w:t>IFIP Advances in Information and Communication Technology</w:t>
      </w:r>
      <w:r w:rsidRPr="009F6151">
        <w:rPr>
          <w:rFonts w:ascii="Times New Roman" w:hAnsi="Times New Roman" w:cs="Times New Roman"/>
        </w:rPr>
        <w:t>, 15–33. https://doi.org/10.1007/978-0-387-35563-4_2</w:t>
      </w:r>
    </w:p>
    <w:p w14:paraId="1C2B82A5" w14:textId="77777777" w:rsidR="009F6151" w:rsidRPr="009F6151" w:rsidRDefault="009F6151" w:rsidP="009F6151">
      <w:pPr>
        <w:spacing w:line="480" w:lineRule="auto"/>
        <w:ind w:left="720" w:hanging="720"/>
        <w:rPr>
          <w:rFonts w:ascii="Times New Roman" w:hAnsi="Times New Roman" w:cs="Times New Roman"/>
        </w:rPr>
      </w:pPr>
      <w:r w:rsidRPr="009F6151">
        <w:rPr>
          <w:rFonts w:ascii="Times New Roman" w:hAnsi="Times New Roman" w:cs="Times New Roman"/>
        </w:rPr>
        <w:t xml:space="preserve">React. (2024). </w:t>
      </w:r>
      <w:r w:rsidRPr="009F6151">
        <w:rPr>
          <w:rFonts w:ascii="Times New Roman" w:hAnsi="Times New Roman" w:cs="Times New Roman"/>
          <w:i/>
          <w:iCs/>
        </w:rPr>
        <w:t>Quick Start</w:t>
      </w:r>
      <w:r w:rsidRPr="009F6151">
        <w:rPr>
          <w:rFonts w:ascii="Times New Roman" w:hAnsi="Times New Roman" w:cs="Times New Roman"/>
        </w:rPr>
        <w:t xml:space="preserve">. </w:t>
      </w:r>
      <w:proofErr w:type="spellStart"/>
      <w:r w:rsidRPr="009F6151">
        <w:rPr>
          <w:rFonts w:ascii="Times New Roman" w:hAnsi="Times New Roman" w:cs="Times New Roman"/>
        </w:rPr>
        <w:t>React.dev</w:t>
      </w:r>
      <w:proofErr w:type="spellEnd"/>
      <w:r w:rsidRPr="009F6151">
        <w:rPr>
          <w:rFonts w:ascii="Times New Roman" w:hAnsi="Times New Roman" w:cs="Times New Roman"/>
        </w:rPr>
        <w:t>. https://react.dev/learn</w:t>
      </w:r>
    </w:p>
    <w:p w14:paraId="1D07FE06" w14:textId="77777777" w:rsidR="001A2433" w:rsidRPr="001A2433" w:rsidRDefault="001A2433" w:rsidP="001A2433">
      <w:pPr>
        <w:spacing w:line="480" w:lineRule="auto"/>
        <w:rPr>
          <w:rFonts w:ascii="Times New Roman" w:hAnsi="Times New Roman" w:cs="Times New Roman"/>
          <w:b/>
          <w:bCs/>
        </w:rPr>
      </w:pPr>
    </w:p>
    <w:sectPr w:rsidR="001A2433" w:rsidRPr="001A243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ED260" w14:textId="77777777" w:rsidR="00A246F0" w:rsidRDefault="00A246F0" w:rsidP="006A2096">
      <w:pPr>
        <w:spacing w:after="0" w:line="240" w:lineRule="auto"/>
      </w:pPr>
      <w:r>
        <w:separator/>
      </w:r>
    </w:p>
  </w:endnote>
  <w:endnote w:type="continuationSeparator" w:id="0">
    <w:p w14:paraId="2BEAAAF9" w14:textId="77777777" w:rsidR="00A246F0" w:rsidRDefault="00A246F0" w:rsidP="006A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C5719" w14:textId="77777777" w:rsidR="00A246F0" w:rsidRDefault="00A246F0" w:rsidP="006A2096">
      <w:pPr>
        <w:spacing w:after="0" w:line="240" w:lineRule="auto"/>
      </w:pPr>
      <w:r>
        <w:separator/>
      </w:r>
    </w:p>
  </w:footnote>
  <w:footnote w:type="continuationSeparator" w:id="0">
    <w:p w14:paraId="4EBAE5F1" w14:textId="77777777" w:rsidR="00A246F0" w:rsidRDefault="00A246F0" w:rsidP="006A2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887991"/>
      <w:docPartObj>
        <w:docPartGallery w:val="Page Numbers (Top of Page)"/>
        <w:docPartUnique/>
      </w:docPartObj>
    </w:sdtPr>
    <w:sdtEndPr>
      <w:rPr>
        <w:noProof/>
      </w:rPr>
    </w:sdtEndPr>
    <w:sdtContent>
      <w:p w14:paraId="59097A16" w14:textId="3EBEB821" w:rsidR="006A2096" w:rsidRDefault="006A2096">
        <w:pPr>
          <w:pStyle w:val="Header"/>
          <w:jc w:val="right"/>
        </w:pPr>
        <w:r>
          <w:t xml:space="preserve">PEER REVIEWS RESEARCH                                                                                                                                  </w:t>
        </w:r>
        <w:r>
          <w:fldChar w:fldCharType="begin"/>
        </w:r>
        <w:r>
          <w:instrText xml:space="preserve"> PAGE   \* MERGEFORMAT </w:instrText>
        </w:r>
        <w:r>
          <w:fldChar w:fldCharType="separate"/>
        </w:r>
        <w:r>
          <w:rPr>
            <w:noProof/>
          </w:rPr>
          <w:t>2</w:t>
        </w:r>
        <w:r>
          <w:rPr>
            <w:noProof/>
          </w:rPr>
          <w:fldChar w:fldCharType="end"/>
        </w:r>
      </w:p>
    </w:sdtContent>
  </w:sdt>
  <w:p w14:paraId="61C10085" w14:textId="77777777" w:rsidR="006A2096" w:rsidRDefault="006A2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96"/>
    <w:rsid w:val="00085E74"/>
    <w:rsid w:val="000F4462"/>
    <w:rsid w:val="001065F6"/>
    <w:rsid w:val="001646E4"/>
    <w:rsid w:val="001A2433"/>
    <w:rsid w:val="002B1ADF"/>
    <w:rsid w:val="004C5184"/>
    <w:rsid w:val="0066300E"/>
    <w:rsid w:val="00665B37"/>
    <w:rsid w:val="006A2096"/>
    <w:rsid w:val="0079255B"/>
    <w:rsid w:val="007B3281"/>
    <w:rsid w:val="008614F6"/>
    <w:rsid w:val="009F6151"/>
    <w:rsid w:val="00A246F0"/>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1DD4"/>
  <w15:chartTrackingRefBased/>
  <w15:docId w15:val="{F7977B85-A975-4436-A8C7-908D9514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96"/>
    <w:rPr>
      <w:rFonts w:eastAsiaTheme="majorEastAsia" w:cstheme="majorBidi"/>
      <w:color w:val="272727" w:themeColor="text1" w:themeTint="D8"/>
    </w:rPr>
  </w:style>
  <w:style w:type="paragraph" w:styleId="Title">
    <w:name w:val="Title"/>
    <w:basedOn w:val="Normal"/>
    <w:next w:val="Normal"/>
    <w:link w:val="TitleChar"/>
    <w:uiPriority w:val="10"/>
    <w:qFormat/>
    <w:rsid w:val="006A2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96"/>
    <w:pPr>
      <w:spacing w:before="160"/>
      <w:jc w:val="center"/>
    </w:pPr>
    <w:rPr>
      <w:i/>
      <w:iCs/>
      <w:color w:val="404040" w:themeColor="text1" w:themeTint="BF"/>
    </w:rPr>
  </w:style>
  <w:style w:type="character" w:customStyle="1" w:styleId="QuoteChar">
    <w:name w:val="Quote Char"/>
    <w:basedOn w:val="DefaultParagraphFont"/>
    <w:link w:val="Quote"/>
    <w:uiPriority w:val="29"/>
    <w:rsid w:val="006A2096"/>
    <w:rPr>
      <w:i/>
      <w:iCs/>
      <w:color w:val="404040" w:themeColor="text1" w:themeTint="BF"/>
    </w:rPr>
  </w:style>
  <w:style w:type="paragraph" w:styleId="ListParagraph">
    <w:name w:val="List Paragraph"/>
    <w:basedOn w:val="Normal"/>
    <w:uiPriority w:val="34"/>
    <w:qFormat/>
    <w:rsid w:val="006A2096"/>
    <w:pPr>
      <w:ind w:left="720"/>
      <w:contextualSpacing/>
    </w:pPr>
  </w:style>
  <w:style w:type="character" w:styleId="IntenseEmphasis">
    <w:name w:val="Intense Emphasis"/>
    <w:basedOn w:val="DefaultParagraphFont"/>
    <w:uiPriority w:val="21"/>
    <w:qFormat/>
    <w:rsid w:val="006A2096"/>
    <w:rPr>
      <w:i/>
      <w:iCs/>
      <w:color w:val="0F4761" w:themeColor="accent1" w:themeShade="BF"/>
    </w:rPr>
  </w:style>
  <w:style w:type="paragraph" w:styleId="IntenseQuote">
    <w:name w:val="Intense Quote"/>
    <w:basedOn w:val="Normal"/>
    <w:next w:val="Normal"/>
    <w:link w:val="IntenseQuoteChar"/>
    <w:uiPriority w:val="30"/>
    <w:qFormat/>
    <w:rsid w:val="006A2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96"/>
    <w:rPr>
      <w:i/>
      <w:iCs/>
      <w:color w:val="0F4761" w:themeColor="accent1" w:themeShade="BF"/>
    </w:rPr>
  </w:style>
  <w:style w:type="character" w:styleId="IntenseReference">
    <w:name w:val="Intense Reference"/>
    <w:basedOn w:val="DefaultParagraphFont"/>
    <w:uiPriority w:val="32"/>
    <w:qFormat/>
    <w:rsid w:val="006A2096"/>
    <w:rPr>
      <w:b/>
      <w:bCs/>
      <w:smallCaps/>
      <w:color w:val="0F4761" w:themeColor="accent1" w:themeShade="BF"/>
      <w:spacing w:val="5"/>
    </w:rPr>
  </w:style>
  <w:style w:type="paragraph" w:styleId="Header">
    <w:name w:val="header"/>
    <w:basedOn w:val="Normal"/>
    <w:link w:val="HeaderChar"/>
    <w:uiPriority w:val="99"/>
    <w:unhideWhenUsed/>
    <w:rsid w:val="006A2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096"/>
  </w:style>
  <w:style w:type="paragraph" w:styleId="Footer">
    <w:name w:val="footer"/>
    <w:basedOn w:val="Normal"/>
    <w:link w:val="FooterChar"/>
    <w:uiPriority w:val="99"/>
    <w:unhideWhenUsed/>
    <w:rsid w:val="006A2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2026-03-25T01:42:00Z</dcterms:created>
  <dcterms:modified xsi:type="dcterms:W3CDTF">2026-03-25T02:10:00Z</dcterms:modified>
</cp:coreProperties>
</file>