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64C7" w14:textId="5AA1F6B9" w:rsidR="000F4462" w:rsidRDefault="00D8015C">
      <w:r>
        <w:t>Topic 5 Discussion 2</w:t>
      </w:r>
    </w:p>
    <w:p w14:paraId="4831BF52" w14:textId="6F6A0945" w:rsidR="00D8015C" w:rsidRDefault="00D8015C">
      <w:r w:rsidRPr="00D8015C">
        <w:t xml:space="preserve">You are asked to review your technical solution; half of the participants are </w:t>
      </w:r>
      <w:proofErr w:type="gramStart"/>
      <w:r w:rsidRPr="00D8015C">
        <w:t>nontechnical</w:t>
      </w:r>
      <w:proofErr w:type="gramEnd"/>
      <w:r w:rsidRPr="00D8015C">
        <w:t xml:space="preserve"> and the other half are technical. How will this impact when you are giving your presentation? What adjustments would you make to communicate with nontechnical participants?</w:t>
      </w:r>
    </w:p>
    <w:p w14:paraId="3A66D697" w14:textId="1F50D1FD" w:rsidR="00D8015C" w:rsidRDefault="00D8015C">
      <w:r>
        <w:t>Hello Class,</w:t>
      </w:r>
    </w:p>
    <w:p w14:paraId="3020630B" w14:textId="57B27A2D" w:rsidR="00D8015C" w:rsidRDefault="00D8015C" w:rsidP="00D8015C">
      <w:pPr>
        <w:ind w:firstLine="720"/>
      </w:pPr>
      <w:r w:rsidRPr="00D8015C">
        <w:t>When presenting a technical solution to a mixed audience comprising both technical and nontechnical participants, it is crucial to tailor the communication approach to bridge the knowledge gap and ensure clarity for all. The presence of nontechnical participants means that highly detailed technical jargon, complex diagrams, or deep dives into algorithms may confuse or disengage part of the audience. To address this, the presentation should focus on high-level concepts, business value, and practical implications rather than intricate technical specifics. Using analogies, simplified visuals, and storytelling can help nontechnical stakeholders grasp the core ideas and the benefits of the solution. For the technical half, it is important to provide enough depth to satisfy their need for rigor and detail, possibly by including appendices or offering to answer detailed questions after the main presentation. Structuring the presentation in layers</w:t>
      </w:r>
      <w:r>
        <w:t xml:space="preserve">, </w:t>
      </w:r>
      <w:r w:rsidRPr="00D8015C">
        <w:t>starting with an accessible overview and progressively moving into more technical details</w:t>
      </w:r>
      <w:r>
        <w:t xml:space="preserve"> </w:t>
      </w:r>
      <w:r w:rsidRPr="00D8015C">
        <w:t>allows participants to engage at their comfort level. Additionally, encouraging questions and clarifying terms throughout can foster better understanding and engagement. According to communication best practices in technical presentations, adapting content to the audience’s background enhances comprehension, facilitates informed decision-making, and promotes collaboration across diverse teams. This balanced approach ensures that both technical and nontechnical participants find value in the presentation and can contribute meaningfully to discussions and decisions.</w:t>
      </w:r>
    </w:p>
    <w:p w14:paraId="7DD6920A" w14:textId="1091E325" w:rsidR="00D8015C" w:rsidRDefault="00D8015C" w:rsidP="00D8015C">
      <w:r>
        <w:t>References:</w:t>
      </w:r>
    </w:p>
    <w:p w14:paraId="542EB205" w14:textId="77777777" w:rsidR="003076AC" w:rsidRPr="003076AC" w:rsidRDefault="003076AC" w:rsidP="003076AC">
      <w:r w:rsidRPr="003076AC">
        <w:t xml:space="preserve">Gallo, C. (2015). </w:t>
      </w:r>
      <w:r w:rsidRPr="003076AC">
        <w:rPr>
          <w:i/>
          <w:iCs/>
        </w:rPr>
        <w:t>Talk like TED : the 9 public-speaking secrets of the world’s top minds</w:t>
      </w:r>
      <w:r w:rsidRPr="003076AC">
        <w:t>. St. Martin’s Griffin.</w:t>
      </w:r>
    </w:p>
    <w:p w14:paraId="1E7041B6" w14:textId="77777777" w:rsidR="003076AC" w:rsidRPr="003076AC" w:rsidRDefault="003076AC" w:rsidP="003076AC">
      <w:r w:rsidRPr="003076AC">
        <w:t xml:space="preserve">Lefever, L. (2013). </w:t>
      </w:r>
      <w:r w:rsidRPr="003076AC">
        <w:rPr>
          <w:i/>
          <w:iCs/>
        </w:rPr>
        <w:t>The art of explanation : making your ideas, products, and services easier to understand</w:t>
      </w:r>
      <w:r w:rsidRPr="003076AC">
        <w:t>. John Wiley &amp; Sons.</w:t>
      </w:r>
    </w:p>
    <w:p w14:paraId="53959911" w14:textId="77777777" w:rsidR="003076AC" w:rsidRPr="003076AC" w:rsidRDefault="003076AC" w:rsidP="003076AC">
      <w:r w:rsidRPr="003076AC">
        <w:t xml:space="preserve">Redish, J. (2010). Technical Communication and Usability: Intertwined Strands and Mutual Influences. </w:t>
      </w:r>
      <w:r w:rsidRPr="003076AC">
        <w:rPr>
          <w:i/>
          <w:iCs/>
        </w:rPr>
        <w:t>IEEE Transactions on Professional Communication</w:t>
      </w:r>
      <w:r w:rsidRPr="003076AC">
        <w:t xml:space="preserve">, </w:t>
      </w:r>
      <w:r w:rsidRPr="003076AC">
        <w:rPr>
          <w:i/>
          <w:iCs/>
        </w:rPr>
        <w:t>53</w:t>
      </w:r>
      <w:r w:rsidRPr="003076AC">
        <w:t>(3), 191–201. https://doi.org/10.1109/tpc.2010.2052861</w:t>
      </w:r>
    </w:p>
    <w:p w14:paraId="3C16A3BC" w14:textId="77777777" w:rsidR="00D8015C" w:rsidRDefault="00D8015C" w:rsidP="00D8015C"/>
    <w:sectPr w:rsidR="00D80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D6"/>
    <w:rsid w:val="00085E74"/>
    <w:rsid w:val="000F4462"/>
    <w:rsid w:val="001065F6"/>
    <w:rsid w:val="00152235"/>
    <w:rsid w:val="001646E4"/>
    <w:rsid w:val="002B1ADF"/>
    <w:rsid w:val="003076AC"/>
    <w:rsid w:val="003D4ED6"/>
    <w:rsid w:val="00665B37"/>
    <w:rsid w:val="007B3281"/>
    <w:rsid w:val="008614F6"/>
    <w:rsid w:val="00D8015C"/>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A93A"/>
  <w15:chartTrackingRefBased/>
  <w15:docId w15:val="{EF2E4781-ECD0-41F9-87D4-578DD78C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ED6"/>
    <w:rPr>
      <w:rFonts w:eastAsiaTheme="majorEastAsia" w:cstheme="majorBidi"/>
      <w:color w:val="272727" w:themeColor="text1" w:themeTint="D8"/>
    </w:rPr>
  </w:style>
  <w:style w:type="paragraph" w:styleId="Title">
    <w:name w:val="Title"/>
    <w:basedOn w:val="Normal"/>
    <w:next w:val="Normal"/>
    <w:link w:val="TitleChar"/>
    <w:uiPriority w:val="10"/>
    <w:qFormat/>
    <w:rsid w:val="003D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ED6"/>
    <w:pPr>
      <w:spacing w:before="160"/>
      <w:jc w:val="center"/>
    </w:pPr>
    <w:rPr>
      <w:i/>
      <w:iCs/>
      <w:color w:val="404040" w:themeColor="text1" w:themeTint="BF"/>
    </w:rPr>
  </w:style>
  <w:style w:type="character" w:customStyle="1" w:styleId="QuoteChar">
    <w:name w:val="Quote Char"/>
    <w:basedOn w:val="DefaultParagraphFont"/>
    <w:link w:val="Quote"/>
    <w:uiPriority w:val="29"/>
    <w:rsid w:val="003D4ED6"/>
    <w:rPr>
      <w:i/>
      <w:iCs/>
      <w:color w:val="404040" w:themeColor="text1" w:themeTint="BF"/>
    </w:rPr>
  </w:style>
  <w:style w:type="paragraph" w:styleId="ListParagraph">
    <w:name w:val="List Paragraph"/>
    <w:basedOn w:val="Normal"/>
    <w:uiPriority w:val="34"/>
    <w:qFormat/>
    <w:rsid w:val="003D4ED6"/>
    <w:pPr>
      <w:ind w:left="720"/>
      <w:contextualSpacing/>
    </w:pPr>
  </w:style>
  <w:style w:type="character" w:styleId="IntenseEmphasis">
    <w:name w:val="Intense Emphasis"/>
    <w:basedOn w:val="DefaultParagraphFont"/>
    <w:uiPriority w:val="21"/>
    <w:qFormat/>
    <w:rsid w:val="003D4ED6"/>
    <w:rPr>
      <w:i/>
      <w:iCs/>
      <w:color w:val="0F4761" w:themeColor="accent1" w:themeShade="BF"/>
    </w:rPr>
  </w:style>
  <w:style w:type="paragraph" w:styleId="IntenseQuote">
    <w:name w:val="Intense Quote"/>
    <w:basedOn w:val="Normal"/>
    <w:next w:val="Normal"/>
    <w:link w:val="IntenseQuoteChar"/>
    <w:uiPriority w:val="30"/>
    <w:qFormat/>
    <w:rsid w:val="003D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D6"/>
    <w:rPr>
      <w:i/>
      <w:iCs/>
      <w:color w:val="0F4761" w:themeColor="accent1" w:themeShade="BF"/>
    </w:rPr>
  </w:style>
  <w:style w:type="character" w:styleId="IntenseReference">
    <w:name w:val="Intense Reference"/>
    <w:basedOn w:val="DefaultParagraphFont"/>
    <w:uiPriority w:val="32"/>
    <w:qFormat/>
    <w:rsid w:val="003D4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2026-03-21T02:14:00Z</dcterms:created>
  <dcterms:modified xsi:type="dcterms:W3CDTF">2026-03-21T02:38:00Z</dcterms:modified>
</cp:coreProperties>
</file>