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59CD" w14:textId="77777777" w:rsidR="000F4462" w:rsidRPr="005C1B96" w:rsidRDefault="000F4462" w:rsidP="005C1B96">
      <w:pPr>
        <w:spacing w:line="480" w:lineRule="auto"/>
        <w:jc w:val="center"/>
        <w:rPr>
          <w:rFonts w:ascii="Times New Roman" w:hAnsi="Times New Roman" w:cs="Times New Roman"/>
        </w:rPr>
      </w:pPr>
    </w:p>
    <w:p w14:paraId="6B2DC87A" w14:textId="77777777" w:rsidR="005C1B96" w:rsidRPr="005C1B96" w:rsidRDefault="005C1B96" w:rsidP="005C1B96">
      <w:pPr>
        <w:spacing w:line="480" w:lineRule="auto"/>
        <w:jc w:val="center"/>
        <w:rPr>
          <w:rFonts w:ascii="Times New Roman" w:hAnsi="Times New Roman" w:cs="Times New Roman"/>
        </w:rPr>
      </w:pPr>
    </w:p>
    <w:p w14:paraId="45523BCE" w14:textId="77777777" w:rsidR="005C1B96" w:rsidRPr="005C1B96" w:rsidRDefault="005C1B96" w:rsidP="005C1B96">
      <w:pPr>
        <w:spacing w:line="480" w:lineRule="auto"/>
        <w:jc w:val="center"/>
        <w:rPr>
          <w:rFonts w:ascii="Times New Roman" w:hAnsi="Times New Roman" w:cs="Times New Roman"/>
        </w:rPr>
      </w:pPr>
    </w:p>
    <w:p w14:paraId="1E1099B0" w14:textId="77777777" w:rsidR="005C1B96" w:rsidRPr="005C1B96" w:rsidRDefault="005C1B96" w:rsidP="005C1B96">
      <w:pPr>
        <w:spacing w:line="480" w:lineRule="auto"/>
        <w:jc w:val="center"/>
        <w:rPr>
          <w:rFonts w:ascii="Times New Roman" w:hAnsi="Times New Roman" w:cs="Times New Roman"/>
        </w:rPr>
      </w:pPr>
    </w:p>
    <w:p w14:paraId="7860610F" w14:textId="77777777" w:rsidR="005C1B96" w:rsidRPr="005C1B96" w:rsidRDefault="005C1B96" w:rsidP="005C1B96">
      <w:pPr>
        <w:spacing w:line="480" w:lineRule="auto"/>
        <w:jc w:val="center"/>
        <w:rPr>
          <w:rFonts w:ascii="Times New Roman" w:hAnsi="Times New Roman" w:cs="Times New Roman"/>
        </w:rPr>
      </w:pPr>
    </w:p>
    <w:p w14:paraId="3D41A531" w14:textId="77777777" w:rsidR="005C1B96" w:rsidRPr="005C1B96" w:rsidRDefault="005C1B96" w:rsidP="005C1B96">
      <w:pPr>
        <w:spacing w:line="480" w:lineRule="auto"/>
        <w:jc w:val="center"/>
        <w:rPr>
          <w:rFonts w:ascii="Times New Roman" w:hAnsi="Times New Roman" w:cs="Times New Roman"/>
        </w:rPr>
      </w:pPr>
    </w:p>
    <w:p w14:paraId="1A0BAB8A" w14:textId="77777777" w:rsidR="005C1B96" w:rsidRPr="005C1B96" w:rsidRDefault="005C1B96" w:rsidP="005C1B96">
      <w:pPr>
        <w:spacing w:line="480" w:lineRule="auto"/>
        <w:jc w:val="center"/>
        <w:rPr>
          <w:rFonts w:ascii="Times New Roman" w:hAnsi="Times New Roman" w:cs="Times New Roman"/>
        </w:rPr>
      </w:pPr>
    </w:p>
    <w:p w14:paraId="112F458B" w14:textId="25FB2745" w:rsidR="005C1B96" w:rsidRPr="005C1B96" w:rsidRDefault="005C1B96" w:rsidP="005C1B96">
      <w:pPr>
        <w:spacing w:line="480" w:lineRule="auto"/>
        <w:jc w:val="center"/>
        <w:rPr>
          <w:rFonts w:ascii="Times New Roman" w:hAnsi="Times New Roman" w:cs="Times New Roman"/>
        </w:rPr>
      </w:pPr>
      <w:r w:rsidRPr="005C1B96">
        <w:rPr>
          <w:rFonts w:ascii="Times New Roman" w:hAnsi="Times New Roman" w:cs="Times New Roman"/>
        </w:rPr>
        <w:t>Data Distributing Plan</w:t>
      </w:r>
    </w:p>
    <w:p w14:paraId="3577617B" w14:textId="3BBE24AE" w:rsidR="005C1B96" w:rsidRPr="005C1B96" w:rsidRDefault="005C1B96" w:rsidP="005C1B96">
      <w:pPr>
        <w:spacing w:line="480" w:lineRule="auto"/>
        <w:jc w:val="center"/>
        <w:rPr>
          <w:rFonts w:ascii="Times New Roman" w:hAnsi="Times New Roman" w:cs="Times New Roman"/>
        </w:rPr>
      </w:pPr>
      <w:r w:rsidRPr="005C1B96">
        <w:rPr>
          <w:rFonts w:ascii="Times New Roman" w:hAnsi="Times New Roman" w:cs="Times New Roman"/>
        </w:rPr>
        <w:t>Ryan Coon</w:t>
      </w:r>
    </w:p>
    <w:p w14:paraId="62C3B277" w14:textId="635EE849" w:rsidR="005C1B96" w:rsidRPr="005C1B96" w:rsidRDefault="005C1B96" w:rsidP="005C1B96">
      <w:pPr>
        <w:spacing w:line="480" w:lineRule="auto"/>
        <w:jc w:val="center"/>
        <w:rPr>
          <w:rFonts w:ascii="Times New Roman" w:hAnsi="Times New Roman" w:cs="Times New Roman"/>
        </w:rPr>
      </w:pPr>
      <w:r w:rsidRPr="005C1B96">
        <w:rPr>
          <w:rFonts w:ascii="Times New Roman" w:hAnsi="Times New Roman" w:cs="Times New Roman"/>
        </w:rPr>
        <w:t>SDD-620</w:t>
      </w:r>
    </w:p>
    <w:p w14:paraId="2BC32B5C" w14:textId="6003A0F3" w:rsidR="005C1B96" w:rsidRPr="005C1B96" w:rsidRDefault="005C1B96" w:rsidP="005C1B96">
      <w:pPr>
        <w:spacing w:line="480" w:lineRule="auto"/>
        <w:jc w:val="center"/>
        <w:rPr>
          <w:rFonts w:ascii="Times New Roman" w:hAnsi="Times New Roman" w:cs="Times New Roman"/>
        </w:rPr>
      </w:pPr>
      <w:r w:rsidRPr="005C1B96">
        <w:rPr>
          <w:rFonts w:ascii="Times New Roman" w:hAnsi="Times New Roman" w:cs="Times New Roman"/>
        </w:rPr>
        <w:t>Dr. Benjamin Perez</w:t>
      </w:r>
    </w:p>
    <w:p w14:paraId="4074319E" w14:textId="4060EEAD" w:rsidR="005C1B96" w:rsidRDefault="005C1B96" w:rsidP="005C1B96">
      <w:pPr>
        <w:spacing w:line="480" w:lineRule="auto"/>
        <w:jc w:val="center"/>
        <w:rPr>
          <w:rFonts w:ascii="Times New Roman" w:hAnsi="Times New Roman" w:cs="Times New Roman"/>
        </w:rPr>
      </w:pPr>
      <w:r w:rsidRPr="005C1B96">
        <w:rPr>
          <w:rFonts w:ascii="Times New Roman" w:hAnsi="Times New Roman" w:cs="Times New Roman"/>
        </w:rPr>
        <w:t>August 26, 2026</w:t>
      </w:r>
    </w:p>
    <w:p w14:paraId="110F100F" w14:textId="77777777" w:rsidR="005C1B96" w:rsidRDefault="005C1B96" w:rsidP="005C1B96">
      <w:pPr>
        <w:spacing w:line="480" w:lineRule="auto"/>
        <w:rPr>
          <w:rFonts w:ascii="Times New Roman" w:hAnsi="Times New Roman" w:cs="Times New Roman"/>
        </w:rPr>
      </w:pPr>
    </w:p>
    <w:p w14:paraId="1D4D1754" w14:textId="77777777" w:rsidR="005C1B96" w:rsidRDefault="005C1B96" w:rsidP="005C1B96">
      <w:pPr>
        <w:spacing w:line="480" w:lineRule="auto"/>
        <w:rPr>
          <w:rFonts w:ascii="Times New Roman" w:hAnsi="Times New Roman" w:cs="Times New Roman"/>
        </w:rPr>
      </w:pPr>
    </w:p>
    <w:p w14:paraId="4CAB688D" w14:textId="77777777" w:rsidR="005C1B96" w:rsidRDefault="005C1B96" w:rsidP="005C1B96">
      <w:pPr>
        <w:spacing w:line="480" w:lineRule="auto"/>
        <w:rPr>
          <w:rFonts w:ascii="Times New Roman" w:hAnsi="Times New Roman" w:cs="Times New Roman"/>
        </w:rPr>
      </w:pPr>
    </w:p>
    <w:p w14:paraId="59A6DBBB" w14:textId="77777777" w:rsidR="005C1B96" w:rsidRDefault="005C1B96" w:rsidP="005C1B96">
      <w:pPr>
        <w:spacing w:line="480" w:lineRule="auto"/>
        <w:rPr>
          <w:rFonts w:ascii="Times New Roman" w:hAnsi="Times New Roman" w:cs="Times New Roman"/>
        </w:rPr>
      </w:pPr>
    </w:p>
    <w:p w14:paraId="052CF851" w14:textId="77777777" w:rsidR="005C1B96" w:rsidRDefault="005C1B96" w:rsidP="005C1B96">
      <w:pPr>
        <w:spacing w:line="480" w:lineRule="auto"/>
        <w:rPr>
          <w:rFonts w:ascii="Times New Roman" w:hAnsi="Times New Roman" w:cs="Times New Roman"/>
        </w:rPr>
      </w:pPr>
    </w:p>
    <w:p w14:paraId="703D101E" w14:textId="77777777" w:rsidR="005C1B96" w:rsidRDefault="005C1B96" w:rsidP="005C1B96">
      <w:pPr>
        <w:spacing w:line="480" w:lineRule="auto"/>
        <w:rPr>
          <w:rFonts w:ascii="Times New Roman" w:hAnsi="Times New Roman" w:cs="Times New Roman"/>
        </w:rPr>
      </w:pPr>
    </w:p>
    <w:p w14:paraId="779874DA" w14:textId="77777777" w:rsidR="005C1B96" w:rsidRPr="005C1B96" w:rsidRDefault="005C1B96" w:rsidP="005C1B96">
      <w:pPr>
        <w:spacing w:line="480" w:lineRule="auto"/>
        <w:jc w:val="center"/>
        <w:rPr>
          <w:rFonts w:ascii="Times New Roman" w:hAnsi="Times New Roman" w:cs="Times New Roman"/>
          <w:b/>
          <w:bCs/>
        </w:rPr>
      </w:pPr>
      <w:r w:rsidRPr="005C1B96">
        <w:rPr>
          <w:rFonts w:ascii="Times New Roman" w:hAnsi="Times New Roman" w:cs="Times New Roman"/>
          <w:b/>
          <w:bCs/>
        </w:rPr>
        <w:lastRenderedPageBreak/>
        <w:t>Data Distribution Strategy: Reliability, Communication Overhead, and Data Consistency</w:t>
      </w:r>
    </w:p>
    <w:p w14:paraId="2EC7D146" w14:textId="012F63C4"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When transitioning from a centralized to a distributed database environment across Denver, Seattle, and Las Vegas, selecting an appropriate data distribution strategy is essential to balance reliability, communication overhead, and data consistency. Given the distributed nature of business functions</w:t>
      </w:r>
      <w:r w:rsidR="00916724">
        <w:rPr>
          <w:rFonts w:ascii="Times New Roman" w:hAnsi="Times New Roman" w:cs="Times New Roman"/>
        </w:rPr>
        <w:t xml:space="preserve">, </w:t>
      </w:r>
      <w:r w:rsidRPr="005C1B96">
        <w:rPr>
          <w:rFonts w:ascii="Times New Roman" w:hAnsi="Times New Roman" w:cs="Times New Roman"/>
        </w:rPr>
        <w:t>customer relations, pricing, sales, marketing, and inventory</w:t>
      </w:r>
      <w:r w:rsidR="00916724">
        <w:rPr>
          <w:rFonts w:ascii="Times New Roman" w:hAnsi="Times New Roman" w:cs="Times New Roman"/>
        </w:rPr>
        <w:t xml:space="preserve"> </w:t>
      </w:r>
      <w:r w:rsidRPr="005C1B96">
        <w:rPr>
          <w:rFonts w:ascii="Times New Roman" w:hAnsi="Times New Roman" w:cs="Times New Roman"/>
        </w:rPr>
        <w:t>I recommend a hybrid data distribution strategy that combines data replication and data partitioning based on the specific needs of each data type.</w:t>
      </w:r>
    </w:p>
    <w:p w14:paraId="42B42A7E" w14:textId="77777777" w:rsidR="005C1B96" w:rsidRPr="005C1B96" w:rsidRDefault="005C1B96" w:rsidP="00916724">
      <w:pPr>
        <w:spacing w:line="480" w:lineRule="auto"/>
        <w:ind w:firstLine="720"/>
        <w:rPr>
          <w:rFonts w:ascii="Times New Roman" w:hAnsi="Times New Roman" w:cs="Times New Roman"/>
        </w:rPr>
      </w:pPr>
      <w:r w:rsidRPr="005C1B96">
        <w:rPr>
          <w:rFonts w:ascii="Times New Roman" w:hAnsi="Times New Roman" w:cs="Times New Roman"/>
        </w:rPr>
        <w:t>For reliability, replicating critical and frequently accessed data such as customer relations and pricing information across all three sites ensures high availability and fault tolerance. If one site experiences downtime, others can continue serving requests without interruption. However, replication increases communication overhead because updates must be propagated to all replicas. To mitigate this, asynchronous replication can be employed where immediate consistency is not critical, allowing updates to propagate with some delay, thus reducing network load and latency.</w:t>
      </w:r>
    </w:p>
    <w:p w14:paraId="14CF093B" w14:textId="0C4699CC"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For large, region-specific datasets such as sales and inventory, horizontal partitioning by geographic region is advisable. Each site manages only its local data subset</w:t>
      </w:r>
      <w:r w:rsidR="00916724">
        <w:rPr>
          <w:rFonts w:ascii="Times New Roman" w:hAnsi="Times New Roman" w:cs="Times New Roman"/>
        </w:rPr>
        <w:t xml:space="preserve">. An example would be </w:t>
      </w:r>
      <w:r w:rsidRPr="005C1B96">
        <w:rPr>
          <w:rFonts w:ascii="Times New Roman" w:hAnsi="Times New Roman" w:cs="Times New Roman"/>
        </w:rPr>
        <w:t>Denver site handles Denver sales and inventory</w:t>
      </w:r>
      <w:r w:rsidR="00916724">
        <w:rPr>
          <w:rFonts w:ascii="Times New Roman" w:hAnsi="Times New Roman" w:cs="Times New Roman"/>
        </w:rPr>
        <w:t xml:space="preserve"> and so on</w:t>
      </w:r>
      <w:r w:rsidRPr="005C1B96">
        <w:rPr>
          <w:rFonts w:ascii="Times New Roman" w:hAnsi="Times New Roman" w:cs="Times New Roman"/>
        </w:rPr>
        <w:t>. This reduces communication overhead by localizing queries and updates, improving performance and scalability. However, this approach requires mechanisms to maintain global consistency when cross-region queries or reports are needed.</w:t>
      </w:r>
    </w:p>
    <w:p w14:paraId="65A1CDA9" w14:textId="77777777"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 xml:space="preserve">Regarding data consistency, a trade-off exists between strong consistency and availability. For customer relations and pricing, where consistency is paramount, synchronous </w:t>
      </w:r>
      <w:r w:rsidRPr="005C1B96">
        <w:rPr>
          <w:rFonts w:ascii="Times New Roman" w:hAnsi="Times New Roman" w:cs="Times New Roman"/>
        </w:rPr>
        <w:lastRenderedPageBreak/>
        <w:t>replication or distributed transactions with two-phase commit protocols can be used despite higher communication costs. For sales and inventory, eventual consistency models may suffice, allowing temporary inconsistencies but ensuring convergence over time.</w:t>
      </w:r>
    </w:p>
    <w:p w14:paraId="0B5BB333" w14:textId="52DC5B7F"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In summary, a hybrid approach</w:t>
      </w:r>
      <w:r w:rsidR="00916724">
        <w:rPr>
          <w:rFonts w:ascii="Times New Roman" w:hAnsi="Times New Roman" w:cs="Times New Roman"/>
        </w:rPr>
        <w:t xml:space="preserve"> </w:t>
      </w:r>
      <w:r w:rsidRPr="005C1B96">
        <w:rPr>
          <w:rFonts w:ascii="Times New Roman" w:hAnsi="Times New Roman" w:cs="Times New Roman"/>
        </w:rPr>
        <w:t>replicating small, critical datasets across all sites for reliability and partitioning large, region-specific datasets to reduce communication overhead</w:t>
      </w:r>
      <w:r w:rsidR="00916724">
        <w:rPr>
          <w:rFonts w:ascii="Times New Roman" w:hAnsi="Times New Roman" w:cs="Times New Roman"/>
        </w:rPr>
        <w:t xml:space="preserve"> </w:t>
      </w:r>
      <w:r w:rsidRPr="005C1B96">
        <w:rPr>
          <w:rFonts w:ascii="Times New Roman" w:hAnsi="Times New Roman" w:cs="Times New Roman"/>
        </w:rPr>
        <w:t>provides a balanced solution addressing reliability, communication costs, and consistency.</w:t>
      </w:r>
    </w:p>
    <w:p w14:paraId="22DDED12" w14:textId="77777777" w:rsidR="005C1B96" w:rsidRPr="005C1B96" w:rsidRDefault="005C1B96" w:rsidP="005C1B96">
      <w:pPr>
        <w:spacing w:line="480" w:lineRule="auto"/>
        <w:jc w:val="center"/>
        <w:rPr>
          <w:rFonts w:ascii="Times New Roman" w:hAnsi="Times New Roman" w:cs="Times New Roman"/>
          <w:b/>
          <w:bCs/>
        </w:rPr>
      </w:pPr>
      <w:r w:rsidRPr="005C1B96">
        <w:rPr>
          <w:rFonts w:ascii="Times New Roman" w:hAnsi="Times New Roman" w:cs="Times New Roman"/>
          <w:b/>
          <w:bCs/>
        </w:rPr>
        <w:t>Recommended Data Partitioning for Customer Relation</w:t>
      </w:r>
    </w:p>
    <w:p w14:paraId="36DC8DDA" w14:textId="29993A85"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The customer relation includes attributes such as Name, Phone, City, and State. Given that most online shoppers are located in Denver, Seattle, and Las Vegas, horizontal partitioning based on geographic location is the most suitable approach.</w:t>
      </w:r>
    </w:p>
    <w:p w14:paraId="463AB485" w14:textId="77777777"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By partitioning the customer table horizontally according to the customer’s city or state, each regional site stores only the customer records relevant to its location. For example, the Denver site holds customers from Denver and Colorado, Seattle holds customers from Washington, and Las Vegas holds customers from Nevada. This partitioning reduces the size of local datasets, improves query performance by limiting searches to relevant partitions, and localizes updates, minimizing cross-site communication.</w:t>
      </w:r>
    </w:p>
    <w:p w14:paraId="552C215D" w14:textId="77777777"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This geographic partitioning aligns with the business’s operational model, where regional sites handle their local customers, enabling efficient data management and faster response times. It also simplifies data privacy and compliance management by restricting data access to relevant jurisdictions.</w:t>
      </w:r>
    </w:p>
    <w:p w14:paraId="1908DED4" w14:textId="77777777"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lastRenderedPageBreak/>
        <w:t>If customers frequently move or interact across regions, a hybrid partitioning strategy combining horizontal partitioning with replication of key customer identifiers across sites can ensure seamless access while maintaining performance.</w:t>
      </w:r>
    </w:p>
    <w:p w14:paraId="6C943B2E" w14:textId="77777777" w:rsidR="005C1B96" w:rsidRPr="005C1B96" w:rsidRDefault="005C1B96" w:rsidP="005C1B96">
      <w:pPr>
        <w:spacing w:line="480" w:lineRule="auto"/>
        <w:jc w:val="center"/>
        <w:rPr>
          <w:rFonts w:ascii="Times New Roman" w:hAnsi="Times New Roman" w:cs="Times New Roman"/>
          <w:b/>
          <w:bCs/>
        </w:rPr>
      </w:pPr>
      <w:r w:rsidRPr="005C1B96">
        <w:rPr>
          <w:rFonts w:ascii="Times New Roman" w:hAnsi="Times New Roman" w:cs="Times New Roman"/>
          <w:b/>
          <w:bCs/>
        </w:rPr>
        <w:t>Recommended Replication Strategy for Updating Price Lists and Movie Catalogs</w:t>
      </w:r>
    </w:p>
    <w:p w14:paraId="0DAF4E39" w14:textId="77777777"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When a manager at any site wants to update the online price list or movie catalog, the replication strategy must ensure that updates are propagated efficiently and consistently across all sites to maintain a uniform customer experience.</w:t>
      </w:r>
    </w:p>
    <w:p w14:paraId="19589396" w14:textId="5F7C93BA"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 xml:space="preserve">For this scenario, I recommend synchronous replication with a primary-copy </w:t>
      </w:r>
      <w:r w:rsidR="00916724">
        <w:rPr>
          <w:rFonts w:ascii="Times New Roman" w:hAnsi="Times New Roman" w:cs="Times New Roman"/>
        </w:rPr>
        <w:t xml:space="preserve">or the </w:t>
      </w:r>
      <w:r w:rsidRPr="005C1B96">
        <w:rPr>
          <w:rFonts w:ascii="Times New Roman" w:hAnsi="Times New Roman" w:cs="Times New Roman"/>
        </w:rPr>
        <w:t>master-slave approach. In this model, one site acts as the primary (master) for updates to the price list and movie catalog, while the other sites maintain read-only replicas (slaves). When a manager submits an update, it is first applied at the primary site and synchronously propagated to all replicas before the transaction commits. This guarantees strong consistency, ensuring that all sites reflect the same price and catalog information immediately after the update.</w:t>
      </w:r>
    </w:p>
    <w:p w14:paraId="7622A1C7" w14:textId="77777777"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Although synchronous replication introduces higher latency and communication overhead, it is justified here because pricing and catalog data are critical for business operations and customer trust. Inconsistent pricing or outdated catalogs across regions could lead to customer dissatisfaction or revenue loss.</w:t>
      </w:r>
    </w:p>
    <w:p w14:paraId="29A549A7" w14:textId="77777777"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t>Alternatively, if low latency is a higher priority and occasional temporary inconsistencies are acceptable, asynchronous multi-master replication could be considered, allowing updates at any site with eventual consistency. However, this requires conflict resolution mechanisms and increases complexity.</w:t>
      </w:r>
    </w:p>
    <w:p w14:paraId="3335FB28" w14:textId="77777777" w:rsidR="005C1B96" w:rsidRPr="005C1B96" w:rsidRDefault="005C1B96" w:rsidP="005C1B96">
      <w:pPr>
        <w:spacing w:line="480" w:lineRule="auto"/>
        <w:ind w:firstLine="720"/>
        <w:rPr>
          <w:rFonts w:ascii="Times New Roman" w:hAnsi="Times New Roman" w:cs="Times New Roman"/>
        </w:rPr>
      </w:pPr>
      <w:r w:rsidRPr="005C1B96">
        <w:rPr>
          <w:rFonts w:ascii="Times New Roman" w:hAnsi="Times New Roman" w:cs="Times New Roman"/>
        </w:rPr>
        <w:lastRenderedPageBreak/>
        <w:t>In conclusion, a hybrid data distribution strategy that combines replication for critical, small datasets and partitioning for large, region-specific data balances reliability, communication overhead, and consistency. Horizontal partitioning of the customer relation by geographic location optimizes local data management and query performance. For updating shared data like price lists and movie catalogs, synchronous primary-copy replication ensures strong consistency and uniformity across all sites. These strategies collectively support the distributed architecture of the online video rental streaming store while addressing performance, reliability, and consistency challenges.</w:t>
      </w:r>
    </w:p>
    <w:p w14:paraId="2EED5FD9" w14:textId="77777777" w:rsidR="005C1B96" w:rsidRDefault="005C1B96" w:rsidP="005C1B96">
      <w:pPr>
        <w:spacing w:line="480" w:lineRule="auto"/>
        <w:rPr>
          <w:rFonts w:ascii="Times New Roman" w:hAnsi="Times New Roman" w:cs="Times New Roman"/>
        </w:rPr>
      </w:pPr>
    </w:p>
    <w:p w14:paraId="72FD4EA8" w14:textId="77777777" w:rsidR="005C1B96" w:rsidRDefault="005C1B96" w:rsidP="005C1B96">
      <w:pPr>
        <w:spacing w:line="480" w:lineRule="auto"/>
        <w:rPr>
          <w:rFonts w:ascii="Times New Roman" w:hAnsi="Times New Roman" w:cs="Times New Roman"/>
        </w:rPr>
      </w:pPr>
    </w:p>
    <w:p w14:paraId="1BA819C2" w14:textId="77777777" w:rsidR="005C1B96" w:rsidRDefault="005C1B96" w:rsidP="005C1B96">
      <w:pPr>
        <w:spacing w:line="480" w:lineRule="auto"/>
        <w:rPr>
          <w:rFonts w:ascii="Times New Roman" w:hAnsi="Times New Roman" w:cs="Times New Roman"/>
        </w:rPr>
      </w:pPr>
    </w:p>
    <w:p w14:paraId="2922E53D" w14:textId="77777777" w:rsidR="005C1B96" w:rsidRDefault="005C1B96" w:rsidP="005C1B96">
      <w:pPr>
        <w:spacing w:line="480" w:lineRule="auto"/>
        <w:rPr>
          <w:rFonts w:ascii="Times New Roman" w:hAnsi="Times New Roman" w:cs="Times New Roman"/>
        </w:rPr>
      </w:pPr>
    </w:p>
    <w:p w14:paraId="1F8E2C2D" w14:textId="77777777" w:rsidR="005C1B96" w:rsidRDefault="005C1B96" w:rsidP="005C1B96">
      <w:pPr>
        <w:spacing w:line="480" w:lineRule="auto"/>
        <w:rPr>
          <w:rFonts w:ascii="Times New Roman" w:hAnsi="Times New Roman" w:cs="Times New Roman"/>
        </w:rPr>
      </w:pPr>
    </w:p>
    <w:p w14:paraId="6660FAD6" w14:textId="77777777" w:rsidR="005C1B96" w:rsidRDefault="005C1B96" w:rsidP="005C1B96">
      <w:pPr>
        <w:spacing w:line="480" w:lineRule="auto"/>
        <w:rPr>
          <w:rFonts w:ascii="Times New Roman" w:hAnsi="Times New Roman" w:cs="Times New Roman"/>
        </w:rPr>
      </w:pPr>
    </w:p>
    <w:p w14:paraId="2B8D4F6F" w14:textId="77777777" w:rsidR="005C1B96" w:rsidRDefault="005C1B96" w:rsidP="005C1B96">
      <w:pPr>
        <w:spacing w:line="480" w:lineRule="auto"/>
        <w:rPr>
          <w:rFonts w:ascii="Times New Roman" w:hAnsi="Times New Roman" w:cs="Times New Roman"/>
        </w:rPr>
      </w:pPr>
    </w:p>
    <w:p w14:paraId="47BCDADE" w14:textId="77777777" w:rsidR="005C1B96" w:rsidRDefault="005C1B96" w:rsidP="005C1B96">
      <w:pPr>
        <w:spacing w:line="480" w:lineRule="auto"/>
        <w:rPr>
          <w:rFonts w:ascii="Times New Roman" w:hAnsi="Times New Roman" w:cs="Times New Roman"/>
        </w:rPr>
      </w:pPr>
    </w:p>
    <w:p w14:paraId="378DF41A" w14:textId="77777777" w:rsidR="005C1B96" w:rsidRDefault="005C1B96" w:rsidP="005C1B96">
      <w:pPr>
        <w:spacing w:line="480" w:lineRule="auto"/>
        <w:rPr>
          <w:rFonts w:ascii="Times New Roman" w:hAnsi="Times New Roman" w:cs="Times New Roman"/>
        </w:rPr>
      </w:pPr>
    </w:p>
    <w:p w14:paraId="64C0B1F2" w14:textId="77777777" w:rsidR="005C1B96" w:rsidRDefault="005C1B96" w:rsidP="005C1B96">
      <w:pPr>
        <w:spacing w:line="480" w:lineRule="auto"/>
        <w:rPr>
          <w:rFonts w:ascii="Times New Roman" w:hAnsi="Times New Roman" w:cs="Times New Roman"/>
        </w:rPr>
      </w:pPr>
    </w:p>
    <w:p w14:paraId="38DEBF62" w14:textId="77777777" w:rsidR="005C1B96" w:rsidRDefault="005C1B96" w:rsidP="005C1B96">
      <w:pPr>
        <w:spacing w:line="480" w:lineRule="auto"/>
        <w:rPr>
          <w:rFonts w:ascii="Times New Roman" w:hAnsi="Times New Roman" w:cs="Times New Roman"/>
        </w:rPr>
      </w:pPr>
    </w:p>
    <w:p w14:paraId="22701E59" w14:textId="77777777" w:rsidR="005C1B96" w:rsidRDefault="005C1B96" w:rsidP="005C1B96">
      <w:pPr>
        <w:spacing w:line="480" w:lineRule="auto"/>
        <w:rPr>
          <w:rFonts w:ascii="Times New Roman" w:hAnsi="Times New Roman" w:cs="Times New Roman"/>
        </w:rPr>
      </w:pPr>
    </w:p>
    <w:p w14:paraId="086BAD17" w14:textId="258BB476" w:rsidR="005C1B96" w:rsidRDefault="005C1B96" w:rsidP="005C1B96">
      <w:pPr>
        <w:spacing w:line="480" w:lineRule="auto"/>
        <w:jc w:val="center"/>
        <w:rPr>
          <w:rFonts w:ascii="Times New Roman" w:hAnsi="Times New Roman" w:cs="Times New Roman"/>
          <w:b/>
          <w:bCs/>
        </w:rPr>
      </w:pPr>
      <w:r w:rsidRPr="005C1B96">
        <w:rPr>
          <w:rFonts w:ascii="Times New Roman" w:hAnsi="Times New Roman" w:cs="Times New Roman"/>
          <w:b/>
          <w:bCs/>
        </w:rPr>
        <w:lastRenderedPageBreak/>
        <w:t>References</w:t>
      </w:r>
    </w:p>
    <w:p w14:paraId="1749BE66" w14:textId="77777777" w:rsidR="005C1B96" w:rsidRPr="005C1B96" w:rsidRDefault="005C1B96" w:rsidP="005C1B96">
      <w:pPr>
        <w:ind w:left="720" w:hanging="720"/>
        <w:rPr>
          <w:rFonts w:ascii="Times New Roman" w:hAnsi="Times New Roman" w:cs="Times New Roman"/>
        </w:rPr>
      </w:pPr>
      <w:r w:rsidRPr="005C1B96">
        <w:rPr>
          <w:rFonts w:ascii="Times New Roman" w:hAnsi="Times New Roman" w:cs="Times New Roman"/>
        </w:rPr>
        <w:t>Elmasri, R., &amp; Navathe, S. B. (2015). Fundamentals of Database Systems. Pearson.</w:t>
      </w:r>
    </w:p>
    <w:p w14:paraId="031A0934" w14:textId="77777777" w:rsidR="005C1B96" w:rsidRPr="005C1B96" w:rsidRDefault="005C1B96" w:rsidP="005C1B96">
      <w:pPr>
        <w:ind w:left="720" w:hanging="720"/>
        <w:rPr>
          <w:rFonts w:ascii="Times New Roman" w:hAnsi="Times New Roman" w:cs="Times New Roman"/>
        </w:rPr>
      </w:pPr>
      <w:proofErr w:type="spellStart"/>
      <w:r w:rsidRPr="005C1B96">
        <w:rPr>
          <w:rFonts w:ascii="Times New Roman" w:hAnsi="Times New Roman" w:cs="Times New Roman"/>
        </w:rPr>
        <w:t>Özsu</w:t>
      </w:r>
      <w:proofErr w:type="spellEnd"/>
      <w:r w:rsidRPr="005C1B96">
        <w:rPr>
          <w:rFonts w:ascii="Times New Roman" w:hAnsi="Times New Roman" w:cs="Times New Roman"/>
        </w:rPr>
        <w:t xml:space="preserve">, M. T., &amp; </w:t>
      </w:r>
      <w:proofErr w:type="spellStart"/>
      <w:r w:rsidRPr="005C1B96">
        <w:rPr>
          <w:rFonts w:ascii="Times New Roman" w:hAnsi="Times New Roman" w:cs="Times New Roman"/>
        </w:rPr>
        <w:t>Valduriez</w:t>
      </w:r>
      <w:proofErr w:type="spellEnd"/>
      <w:r w:rsidRPr="005C1B96">
        <w:rPr>
          <w:rFonts w:ascii="Times New Roman" w:hAnsi="Times New Roman" w:cs="Times New Roman"/>
        </w:rPr>
        <w:t>, P. (2020). Principles of Distributed Database Systems (4th ed.). Springer.</w:t>
      </w:r>
    </w:p>
    <w:p w14:paraId="18DFC192" w14:textId="77777777" w:rsidR="005C1B96" w:rsidRPr="005C1B96" w:rsidRDefault="005C1B96" w:rsidP="005C1B96">
      <w:pPr>
        <w:ind w:left="720" w:hanging="720"/>
        <w:rPr>
          <w:rFonts w:ascii="Times New Roman" w:hAnsi="Times New Roman" w:cs="Times New Roman"/>
        </w:rPr>
      </w:pPr>
      <w:r w:rsidRPr="005C1B96">
        <w:rPr>
          <w:rFonts w:ascii="Times New Roman" w:hAnsi="Times New Roman" w:cs="Times New Roman"/>
        </w:rPr>
        <w:t>Silberschatz, A., Korth, H. F., &amp; Sudarshan, S. (2019). Database System Concepts. McGraw-Hill Education.</w:t>
      </w:r>
    </w:p>
    <w:p w14:paraId="6634E23F" w14:textId="77777777" w:rsidR="005C1B96" w:rsidRPr="005C1B96" w:rsidRDefault="005C1B96" w:rsidP="005C1B96">
      <w:pPr>
        <w:spacing w:line="480" w:lineRule="auto"/>
        <w:rPr>
          <w:rFonts w:ascii="Times New Roman" w:hAnsi="Times New Roman" w:cs="Times New Roman"/>
        </w:rPr>
      </w:pPr>
    </w:p>
    <w:sectPr w:rsidR="005C1B96" w:rsidRPr="005C1B9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EF659" w14:textId="77777777" w:rsidR="008A653D" w:rsidRDefault="008A653D" w:rsidP="005C1B96">
      <w:pPr>
        <w:spacing w:after="0" w:line="240" w:lineRule="auto"/>
      </w:pPr>
      <w:r>
        <w:separator/>
      </w:r>
    </w:p>
  </w:endnote>
  <w:endnote w:type="continuationSeparator" w:id="0">
    <w:p w14:paraId="474F53A1" w14:textId="77777777" w:rsidR="008A653D" w:rsidRDefault="008A653D" w:rsidP="005C1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469DC" w14:textId="77777777" w:rsidR="008A653D" w:rsidRDefault="008A653D" w:rsidP="005C1B96">
      <w:pPr>
        <w:spacing w:after="0" w:line="240" w:lineRule="auto"/>
      </w:pPr>
      <w:r>
        <w:separator/>
      </w:r>
    </w:p>
  </w:footnote>
  <w:footnote w:type="continuationSeparator" w:id="0">
    <w:p w14:paraId="5BC270BB" w14:textId="77777777" w:rsidR="008A653D" w:rsidRDefault="008A653D" w:rsidP="005C1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97974354"/>
      <w:docPartObj>
        <w:docPartGallery w:val="Page Numbers (Top of Page)"/>
        <w:docPartUnique/>
      </w:docPartObj>
    </w:sdtPr>
    <w:sdtEndPr>
      <w:rPr>
        <w:b/>
        <w:bCs/>
        <w:noProof/>
        <w:color w:val="auto"/>
        <w:spacing w:val="0"/>
      </w:rPr>
    </w:sdtEndPr>
    <w:sdtContent>
      <w:p w14:paraId="1F8AE2F9" w14:textId="02EF0D32" w:rsidR="005C1B96" w:rsidRDefault="005C1B96">
        <w:pPr>
          <w:pStyle w:val="Header"/>
          <w:pBdr>
            <w:bottom w:val="single" w:sz="4" w:space="1" w:color="D9D9D9" w:themeColor="background1" w:themeShade="D9"/>
          </w:pBdr>
          <w:jc w:val="right"/>
          <w:rPr>
            <w:b/>
            <w:bCs/>
          </w:rPr>
        </w:pPr>
        <w:r>
          <w:rPr>
            <w:color w:val="7F7F7F" w:themeColor="background1" w:themeShade="7F"/>
            <w:spacing w:val="60"/>
          </w:rPr>
          <w:t xml:space="preserve">DATA DISTRIBUTION PLAN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B41E946" w14:textId="77777777" w:rsidR="005C1B96" w:rsidRDefault="005C1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268C6"/>
    <w:multiLevelType w:val="multilevel"/>
    <w:tmpl w:val="924C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63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96"/>
    <w:rsid w:val="00085E74"/>
    <w:rsid w:val="000F4462"/>
    <w:rsid w:val="001065F6"/>
    <w:rsid w:val="001646E4"/>
    <w:rsid w:val="002B1ADF"/>
    <w:rsid w:val="005C1B96"/>
    <w:rsid w:val="00665B37"/>
    <w:rsid w:val="007B3281"/>
    <w:rsid w:val="008614F6"/>
    <w:rsid w:val="008A653D"/>
    <w:rsid w:val="00916724"/>
    <w:rsid w:val="00D12F6B"/>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5C5C8"/>
  <w15:chartTrackingRefBased/>
  <w15:docId w15:val="{66D13204-DF78-40C3-8FA0-D46BE3E39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B96"/>
    <w:rPr>
      <w:rFonts w:eastAsiaTheme="majorEastAsia" w:cstheme="majorBidi"/>
      <w:color w:val="272727" w:themeColor="text1" w:themeTint="D8"/>
    </w:rPr>
  </w:style>
  <w:style w:type="paragraph" w:styleId="Title">
    <w:name w:val="Title"/>
    <w:basedOn w:val="Normal"/>
    <w:next w:val="Normal"/>
    <w:link w:val="TitleChar"/>
    <w:uiPriority w:val="10"/>
    <w:qFormat/>
    <w:rsid w:val="005C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B96"/>
    <w:pPr>
      <w:spacing w:before="160"/>
      <w:jc w:val="center"/>
    </w:pPr>
    <w:rPr>
      <w:i/>
      <w:iCs/>
      <w:color w:val="404040" w:themeColor="text1" w:themeTint="BF"/>
    </w:rPr>
  </w:style>
  <w:style w:type="character" w:customStyle="1" w:styleId="QuoteChar">
    <w:name w:val="Quote Char"/>
    <w:basedOn w:val="DefaultParagraphFont"/>
    <w:link w:val="Quote"/>
    <w:uiPriority w:val="29"/>
    <w:rsid w:val="005C1B96"/>
    <w:rPr>
      <w:i/>
      <w:iCs/>
      <w:color w:val="404040" w:themeColor="text1" w:themeTint="BF"/>
    </w:rPr>
  </w:style>
  <w:style w:type="paragraph" w:styleId="ListParagraph">
    <w:name w:val="List Paragraph"/>
    <w:basedOn w:val="Normal"/>
    <w:uiPriority w:val="34"/>
    <w:qFormat/>
    <w:rsid w:val="005C1B96"/>
    <w:pPr>
      <w:ind w:left="720"/>
      <w:contextualSpacing/>
    </w:pPr>
  </w:style>
  <w:style w:type="character" w:styleId="IntenseEmphasis">
    <w:name w:val="Intense Emphasis"/>
    <w:basedOn w:val="DefaultParagraphFont"/>
    <w:uiPriority w:val="21"/>
    <w:qFormat/>
    <w:rsid w:val="005C1B96"/>
    <w:rPr>
      <w:i/>
      <w:iCs/>
      <w:color w:val="0F4761" w:themeColor="accent1" w:themeShade="BF"/>
    </w:rPr>
  </w:style>
  <w:style w:type="paragraph" w:styleId="IntenseQuote">
    <w:name w:val="Intense Quote"/>
    <w:basedOn w:val="Normal"/>
    <w:next w:val="Normal"/>
    <w:link w:val="IntenseQuoteChar"/>
    <w:uiPriority w:val="30"/>
    <w:qFormat/>
    <w:rsid w:val="005C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B96"/>
    <w:rPr>
      <w:i/>
      <w:iCs/>
      <w:color w:val="0F4761" w:themeColor="accent1" w:themeShade="BF"/>
    </w:rPr>
  </w:style>
  <w:style w:type="character" w:styleId="IntenseReference">
    <w:name w:val="Intense Reference"/>
    <w:basedOn w:val="DefaultParagraphFont"/>
    <w:uiPriority w:val="32"/>
    <w:qFormat/>
    <w:rsid w:val="005C1B96"/>
    <w:rPr>
      <w:b/>
      <w:bCs/>
      <w:smallCaps/>
      <w:color w:val="0F4761" w:themeColor="accent1" w:themeShade="BF"/>
      <w:spacing w:val="5"/>
    </w:rPr>
  </w:style>
  <w:style w:type="paragraph" w:styleId="Header">
    <w:name w:val="header"/>
    <w:basedOn w:val="Normal"/>
    <w:link w:val="HeaderChar"/>
    <w:uiPriority w:val="99"/>
    <w:unhideWhenUsed/>
    <w:rsid w:val="005C1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B96"/>
  </w:style>
  <w:style w:type="paragraph" w:styleId="Footer">
    <w:name w:val="footer"/>
    <w:basedOn w:val="Normal"/>
    <w:link w:val="FooterChar"/>
    <w:uiPriority w:val="99"/>
    <w:unhideWhenUsed/>
    <w:rsid w:val="005C1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2026-08-20T00:03:00Z</dcterms:created>
  <dcterms:modified xsi:type="dcterms:W3CDTF">2026-08-20T00:38:00Z</dcterms:modified>
</cp:coreProperties>
</file>