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A90C4" w14:textId="77777777" w:rsidR="000F4462" w:rsidRDefault="000F4462" w:rsidP="00BB2F70">
      <w:pPr>
        <w:jc w:val="center"/>
      </w:pPr>
    </w:p>
    <w:p w14:paraId="034D0FBB" w14:textId="77777777" w:rsidR="00BB2F70" w:rsidRDefault="00BB2F70" w:rsidP="00BB2F70">
      <w:pPr>
        <w:jc w:val="center"/>
      </w:pPr>
    </w:p>
    <w:p w14:paraId="3289B775" w14:textId="77777777" w:rsidR="00BB2F70" w:rsidRDefault="00BB2F70" w:rsidP="00BB2F70">
      <w:pPr>
        <w:jc w:val="center"/>
      </w:pPr>
    </w:p>
    <w:p w14:paraId="571716BD" w14:textId="77777777" w:rsidR="00BB2F70" w:rsidRDefault="00BB2F70" w:rsidP="00BB2F70">
      <w:pPr>
        <w:jc w:val="center"/>
      </w:pPr>
    </w:p>
    <w:p w14:paraId="6F8A792C" w14:textId="77777777" w:rsidR="00BB2F70" w:rsidRDefault="00BB2F70" w:rsidP="00BB2F70">
      <w:pPr>
        <w:jc w:val="center"/>
      </w:pPr>
    </w:p>
    <w:p w14:paraId="6F716086" w14:textId="77777777" w:rsidR="00BB2F70" w:rsidRDefault="00BB2F70" w:rsidP="00BB2F70">
      <w:pPr>
        <w:jc w:val="center"/>
      </w:pPr>
    </w:p>
    <w:p w14:paraId="3276FAC7" w14:textId="77777777" w:rsidR="00BB2F70" w:rsidRDefault="00BB2F70" w:rsidP="00BB2F70">
      <w:pPr>
        <w:jc w:val="center"/>
      </w:pPr>
    </w:p>
    <w:p w14:paraId="4B5BACEB" w14:textId="77777777" w:rsidR="00BB2F70" w:rsidRDefault="00BB2F70" w:rsidP="00BB2F70">
      <w:pPr>
        <w:jc w:val="center"/>
      </w:pPr>
    </w:p>
    <w:p w14:paraId="1825469C" w14:textId="77777777" w:rsidR="00BB2F70" w:rsidRDefault="00BB2F70" w:rsidP="00BB2F70">
      <w:pPr>
        <w:jc w:val="center"/>
      </w:pPr>
    </w:p>
    <w:p w14:paraId="05DB6032" w14:textId="77777777" w:rsidR="00BB2F70" w:rsidRDefault="00BB2F70" w:rsidP="00BB2F70">
      <w:pPr>
        <w:jc w:val="center"/>
      </w:pPr>
    </w:p>
    <w:p w14:paraId="4D62C721" w14:textId="453D12C8" w:rsidR="00BB2F70" w:rsidRDefault="00BB2F70" w:rsidP="00BB2F70">
      <w:pPr>
        <w:jc w:val="center"/>
      </w:pPr>
      <w:r>
        <w:t>Activity 7</w:t>
      </w:r>
    </w:p>
    <w:p w14:paraId="36C97DCB" w14:textId="1D0FB690" w:rsidR="00BB2F70" w:rsidRDefault="00BB2F70" w:rsidP="00BB2F70">
      <w:pPr>
        <w:jc w:val="center"/>
      </w:pPr>
      <w:r>
        <w:t>Ryan Coon</w:t>
      </w:r>
    </w:p>
    <w:p w14:paraId="466333F0" w14:textId="0274B926" w:rsidR="00BB2F70" w:rsidRDefault="00BB2F70" w:rsidP="00BB2F70">
      <w:pPr>
        <w:jc w:val="center"/>
      </w:pPr>
      <w:r>
        <w:t>SWE-520</w:t>
      </w:r>
    </w:p>
    <w:p w14:paraId="4A60CBF7" w14:textId="3CC5C3C5" w:rsidR="00BB2F70" w:rsidRDefault="00BB2F70" w:rsidP="00BB2F70">
      <w:pPr>
        <w:jc w:val="center"/>
      </w:pPr>
      <w:r>
        <w:t>Professor Curtis Thompson</w:t>
      </w:r>
    </w:p>
    <w:p w14:paraId="78FA83E6" w14:textId="0217947D" w:rsidR="00BB2F70" w:rsidRDefault="00BB2F70" w:rsidP="00BB2F70">
      <w:pPr>
        <w:jc w:val="center"/>
      </w:pPr>
      <w:r>
        <w:t>February 11, 2026</w:t>
      </w:r>
    </w:p>
    <w:p w14:paraId="2146E216" w14:textId="77777777" w:rsidR="00BB2F70" w:rsidRDefault="00BB2F70" w:rsidP="00BB2F70"/>
    <w:p w14:paraId="6682DD26" w14:textId="77777777" w:rsidR="00BB2F70" w:rsidRDefault="00BB2F70" w:rsidP="00BB2F70"/>
    <w:p w14:paraId="2F556524" w14:textId="77777777" w:rsidR="00BB2F70" w:rsidRDefault="00BB2F70" w:rsidP="00BB2F70"/>
    <w:p w14:paraId="3288AB3F" w14:textId="77777777" w:rsidR="00BB2F70" w:rsidRDefault="00BB2F70" w:rsidP="00BB2F70"/>
    <w:p w14:paraId="6AF0090C" w14:textId="77777777" w:rsidR="00BB2F70" w:rsidRDefault="00BB2F70" w:rsidP="00BB2F70"/>
    <w:p w14:paraId="061490FE" w14:textId="77777777" w:rsidR="00BB2F70" w:rsidRDefault="00BB2F70" w:rsidP="00BB2F70"/>
    <w:p w14:paraId="6C99808C" w14:textId="77777777" w:rsidR="00BB2F70" w:rsidRDefault="00BB2F70" w:rsidP="00BB2F70"/>
    <w:p w14:paraId="14EEFD31" w14:textId="77777777" w:rsidR="00BB2F70" w:rsidRDefault="00BB2F70" w:rsidP="00BB2F70"/>
    <w:p w14:paraId="10E49D25" w14:textId="77777777" w:rsidR="00BB2F70" w:rsidRDefault="00BB2F70" w:rsidP="00BB2F70"/>
    <w:p w14:paraId="57161564" w14:textId="77777777" w:rsidR="00BB2F70" w:rsidRDefault="00BB2F70" w:rsidP="00BB2F70"/>
    <w:p w14:paraId="71D67B3E" w14:textId="77777777" w:rsidR="00BB2F70" w:rsidRDefault="00BB2F70" w:rsidP="00BB2F70"/>
    <w:p w14:paraId="3FBE0E64" w14:textId="77EFD1B5" w:rsidR="00BB2F70" w:rsidRDefault="00BB2F70" w:rsidP="00BB2F70">
      <w:r>
        <w:lastRenderedPageBreak/>
        <w:t>Part I</w:t>
      </w:r>
    </w:p>
    <w:p w14:paraId="42B3402A" w14:textId="1DFE33EC" w:rsidR="00BB2F70" w:rsidRPr="00BB2F70" w:rsidRDefault="00BB2F70" w:rsidP="00BB2F70">
      <w:pPr>
        <w:ind w:firstLine="720"/>
      </w:pPr>
      <w:r w:rsidRPr="00BB2F70">
        <w:t xml:space="preserve">The intangibility of software systems poses significant and unique challenges for software project management, fundamentally shaping how projects are planned, executed, and controlled. Unlike physical products, software is inherently intangible—it cannot be seen, touched, or physically measured. This lack of physical form complicates many traditional project management practices that rely on tangible progress indicators and physical milestones. For instance, in manufacturing or construction, project managers can visually inspect </w:t>
      </w:r>
      <w:r w:rsidR="00792E58" w:rsidRPr="00BB2F70">
        <w:t>complete</w:t>
      </w:r>
      <w:r w:rsidRPr="00BB2F70">
        <w:t xml:space="preserve"> components or count physical units to assess progress. In contrast, software progress is often abstract, represented by lines of code, features implemented, or modules integrated, none of which guarantee functional completeness or quality. This intangibility makes it difficult to accurately estimate the effort, time, and resources required, leading to frequent cost overruns and schedule delays. Recent statistics reveal that over 30% of software projects are canceled before completion, and more than half exceed their budgets by nearly double, underscoring the management difficulties linked to software’s intangible nature (Beta Breakers, 2024).</w:t>
      </w:r>
    </w:p>
    <w:p w14:paraId="71B164A5" w14:textId="77777777" w:rsidR="00BB2F70" w:rsidRPr="00BB2F70" w:rsidRDefault="00BB2F70" w:rsidP="00BB2F70">
      <w:pPr>
        <w:ind w:firstLine="720"/>
      </w:pPr>
      <w:r w:rsidRPr="00BB2F70">
        <w:t>One core problem arising from software’s intangibility is the challenge of defining and managing requirements. Software requirements tend to be abstract and evolve over time as stakeholders refine their understanding of what the system should do. This fluidity is harder to manage than changes in physical product specifications because the software’s invisible nature makes it difficult for stakeholders to visualize the end product early in the development process. Consequently, miscommunication and misunderstandings are common, leading to scope creep and rework. The intangible nature of software also complicates quality assurance. Defects in software are not visible physical flaws but hidden bugs in logic or code, which require specialized testing techniques to uncover. This invisibility increases the risk of undetected errors, which can cause significant problems post-deployment.</w:t>
      </w:r>
    </w:p>
    <w:p w14:paraId="3D6F0288" w14:textId="26CED35C" w:rsidR="00BB2F70" w:rsidRPr="00BB2F70" w:rsidRDefault="00792E58" w:rsidP="00792E58">
      <w:pPr>
        <w:ind w:firstLine="720"/>
      </w:pPr>
      <w:r>
        <w:t>T</w:t>
      </w:r>
      <w:r w:rsidR="00BB2F70" w:rsidRPr="00BB2F70">
        <w:t>he intangibility of software affects progress tracking and status reporting. Traditional project management relies on visible signs of progress, but in software projects, progress is often reported through subjective measures such as percentage completion or feature lists, which may not accurately reflect the true state of the project. Research highlights that software project status reporting is prone to errors and biases, making it difficult for managers to obtain an objective view of progress and risks (</w:t>
      </w:r>
      <w:r w:rsidR="00107F4E">
        <w:t>Snow &amp; Keil</w:t>
      </w:r>
      <w:r w:rsidR="00BB2F70" w:rsidRPr="00BB2F70">
        <w:t>, 20</w:t>
      </w:r>
      <w:r w:rsidR="00107F4E">
        <w:t>02</w:t>
      </w:r>
      <w:r w:rsidR="00BB2F70" w:rsidRPr="00BB2F70">
        <w:t>). This uncertainty complicates decision-making and risk management, often resulting in delayed interventions and cost escalations.</w:t>
      </w:r>
    </w:p>
    <w:p w14:paraId="66C0E728" w14:textId="77777777" w:rsidR="00BB2F70" w:rsidRPr="00BB2F70" w:rsidRDefault="00BB2F70" w:rsidP="00BB2F70">
      <w:pPr>
        <w:ind w:firstLine="720"/>
      </w:pPr>
      <w:r w:rsidRPr="00BB2F70">
        <w:t xml:space="preserve">The intangible nature of software also demands a different approach to project management methodologies. Agile and iterative development methods have gained </w:t>
      </w:r>
      <w:r w:rsidRPr="00BB2F70">
        <w:lastRenderedPageBreak/>
        <w:t>prominence precisely because they accommodate the fluid and invisible nature of software development. These approaches emphasize continuous feedback, incremental delivery, and adaptive planning, which help manage the uncertainties and evolving requirements inherent in intangible software products. They allow teams to demonstrate working software frequently, providing tangible evidence of progress and enabling stakeholders to adjust requirements based on actual outcomes rather than abstract plans.</w:t>
      </w:r>
    </w:p>
    <w:p w14:paraId="1170DBE0" w14:textId="77777777" w:rsidR="00BB2F70" w:rsidRPr="00BB2F70" w:rsidRDefault="00BB2F70" w:rsidP="00BB2F70">
      <w:pPr>
        <w:ind w:firstLine="720"/>
      </w:pPr>
      <w:r w:rsidRPr="00BB2F70">
        <w:t>Furthermore, software’s intangibility contributes to higher perceived risk in IT projects. The inability to physically verify progress or quality early in the project lifecycle increases uncertainty and risk exposure. This risk is compounded by the complexity of software systems, which often integrate with multiple other systems and technologies, making the invisible dependencies and interactions difficult to manage. As a result, software projects are more prone to delays, budget overruns, and failures compared to projects involving tangible products (Flyvbjerg, 2025).</w:t>
      </w:r>
    </w:p>
    <w:p w14:paraId="31AFDAE5" w14:textId="77777777" w:rsidR="00BB2F70" w:rsidRPr="00BB2F70" w:rsidRDefault="00BB2F70" w:rsidP="00BB2F70">
      <w:pPr>
        <w:ind w:firstLine="720"/>
      </w:pPr>
      <w:r w:rsidRPr="00BB2F70">
        <w:t>In conclusion, the intangibility of software systems creates special problems for software project management by obscuring progress visibility, complicating requirement definition, increasing uncertainty in quality assurance, and elevating project risks. These challenges necessitate specialized management practices that emphasize flexibility, continuous stakeholder engagement, iterative development, and rigorous testing. Understanding and addressing the implications of software’s intangible nature is crucial for improving project outcomes and reducing the high failure rates that continue to plague the software industry.</w:t>
      </w:r>
    </w:p>
    <w:p w14:paraId="14E5A588" w14:textId="150A6481" w:rsidR="00BB2F70" w:rsidRDefault="00BB2F70" w:rsidP="00BB2F70">
      <w:r>
        <w:t>Part II</w:t>
      </w:r>
    </w:p>
    <w:p w14:paraId="0722422A" w14:textId="5240DD0B" w:rsidR="00BB2F70" w:rsidRDefault="00792E58" w:rsidP="00BB2F70">
      <w:r>
        <w:t>Case Study</w:t>
      </w:r>
    </w:p>
    <w:p w14:paraId="730AF845" w14:textId="2E3449BE" w:rsidR="00792E58" w:rsidRDefault="00792E58" w:rsidP="00BB2F70">
      <w:r>
        <w:t>Communication</w:t>
      </w:r>
    </w:p>
    <w:p w14:paraId="7767C768" w14:textId="77777777" w:rsidR="00792E58" w:rsidRPr="00792E58" w:rsidRDefault="00792E58" w:rsidP="00792E58">
      <w:pPr>
        <w:ind w:firstLine="720"/>
      </w:pPr>
      <w:r w:rsidRPr="00792E58">
        <w:t>Early in the project, the team encountered significant communication difficulties. The project manager, Sarah, found it challenging to coordinate meetings that included all team members due to differing time zones and conflicting schedules. Moreover, the client frequently requested urgent changes, requiring rapid team discussions and decisions. Because it was impossible to gather the entire team at short notice, some critical information was delayed or misunderstood. For example, a key design decision made during a meeting with only the local team was not effectively communicated to remote developers. This led to inconsistent implementations, integration problems, and duplicated work.</w:t>
      </w:r>
    </w:p>
    <w:p w14:paraId="6359EADF" w14:textId="77777777" w:rsidR="00792E58" w:rsidRPr="00792E58" w:rsidRDefault="00792E58" w:rsidP="00792E58">
      <w:pPr>
        <w:ind w:firstLine="720"/>
      </w:pPr>
      <w:r w:rsidRPr="00792E58">
        <w:t xml:space="preserve">The communication breakdown had several negative consequences. Remote developers worked on outdated requirements, causing rework and missed deadlines. </w:t>
      </w:r>
      <w:r w:rsidRPr="00792E58">
        <w:lastRenderedPageBreak/>
        <w:t>Remote members felt isolated and undervalued, leading to decreased motivation and productivity. Lack of shared understanding resulted in inconsistent code and integration defects. Additionally, the client experienced delays and inconsistent feature delivery, damaging the company’s reputation.</w:t>
      </w:r>
    </w:p>
    <w:p w14:paraId="0B94643A" w14:textId="77777777" w:rsidR="00792E58" w:rsidRPr="00792E58" w:rsidRDefault="00792E58" w:rsidP="00792E58">
      <w:pPr>
        <w:ind w:firstLine="720"/>
      </w:pPr>
      <w:r w:rsidRPr="00792E58">
        <w:t>Recognizing these issues, Sarah and the team adopted several communication strategies to improve collaboration. They scheduled weekly video conferences at a time that was the best compromise for all time zones, including status updates, design discussions, and Q&amp;A sessions. The team adopted a suite of collaboration tools such as a shared project management platform for tracking tasks and progress, instant messaging channels for quick questions and informal communication, and a shared document repository with version control for requirements and design documents. To accommodate time zone differences, the team emphasized asynchronous communication methods, sharing meeting recordings and detailed minutes promptly to allow remote members to stay informed and provide feedback on their own schedules. They also established clear protocols for escalating urgent issues, including designated points of contact and response time expectations. Additionally, the project manager and technical leads set aside daily time slots for informal virtual drop-in sessions, encouraging spontaneous discussions and quick clarifications.</w:t>
      </w:r>
    </w:p>
    <w:p w14:paraId="56D5B82C" w14:textId="77777777" w:rsidR="00792E58" w:rsidRPr="00792E58" w:rsidRDefault="00792E58" w:rsidP="00792E58">
      <w:pPr>
        <w:ind w:firstLine="720"/>
      </w:pPr>
      <w:r w:rsidRPr="00792E58">
        <w:t xml:space="preserve">After implementing these strategies, the team observed significant improvements. Remote and local team members had a shared understanding of project goals and current status. Clear communication of requirements and design decisions </w:t>
      </w:r>
      <w:proofErr w:type="gramStart"/>
      <w:r w:rsidRPr="00792E58">
        <w:t>minimized</w:t>
      </w:r>
      <w:proofErr w:type="gramEnd"/>
      <w:r w:rsidRPr="00792E58">
        <w:t xml:space="preserve"> duplicated efforts. Remote members felt more connected and engaged, improving morale and productivity. The project progressed on schedule, meeting client expectations for quality and functionality.</w:t>
      </w:r>
    </w:p>
    <w:p w14:paraId="6007452D" w14:textId="77777777" w:rsidR="00792E58" w:rsidRPr="00792E58" w:rsidRDefault="00792E58" w:rsidP="00792E58">
      <w:pPr>
        <w:ind w:firstLine="720"/>
      </w:pPr>
      <w:r w:rsidRPr="00792E58">
        <w:t>This case highlights the critical importance of communication in software engineering projects, especially when team members are distributed geographically. Communication plans must be established early, considering team distribution and time zones. Appropriate collaboration tools are essential to bridge the gap between remote and co-located team members. Flexibility in communication timing helps accommodate diverse schedules without sacrificing information flow. Scheduled meetings, even if less frequent, provide vital opportunities for alignment and relationship building. Defined communication channels and escalation paths prevent confusion and delays.</w:t>
      </w:r>
    </w:p>
    <w:p w14:paraId="718E9F21" w14:textId="4DB8329D" w:rsidR="00792E58" w:rsidRDefault="00792E58" w:rsidP="00792E58">
      <w:pPr>
        <w:ind w:firstLine="720"/>
      </w:pPr>
      <w:r w:rsidRPr="00792E58">
        <w:t>In conclusion, effective communication is foundational to the success of software projects, particularly in distributed teams. By adopting deliberate communication strategies and leveraging technology, teams can overcome the challenges of remote collaboration and deliver high-quality software on time.</w:t>
      </w:r>
    </w:p>
    <w:p w14:paraId="44AB428D" w14:textId="66679E33" w:rsidR="00107F4E" w:rsidRDefault="00107F4E" w:rsidP="00BB2F70">
      <w:r>
        <w:lastRenderedPageBreak/>
        <w:t>References:</w:t>
      </w:r>
    </w:p>
    <w:p w14:paraId="7276A7D0" w14:textId="77777777" w:rsidR="00107F4E" w:rsidRPr="00107F4E" w:rsidRDefault="00107F4E" w:rsidP="00792E58">
      <w:pPr>
        <w:ind w:left="720" w:hanging="720"/>
      </w:pPr>
      <w:proofErr w:type="spellStart"/>
      <w:r w:rsidRPr="00107F4E">
        <w:t>BetaBreakers</w:t>
      </w:r>
      <w:proofErr w:type="spellEnd"/>
      <w:r w:rsidRPr="00107F4E">
        <w:t xml:space="preserve">. (2024). </w:t>
      </w:r>
      <w:r w:rsidRPr="00107F4E">
        <w:rPr>
          <w:i/>
          <w:iCs/>
        </w:rPr>
        <w:t>Software Survival in 2024: Understanding 2023 Project Failure Statistics and the Role of Quality Assurance | Beta Breakers</w:t>
      </w:r>
      <w:r w:rsidRPr="00107F4E">
        <w:t>. Beta Breakers. https://www.betabreakers.com/blog/software-survival-in-2024-understanding-2023-project-failure-statistics-and-the-role-of-quality-assurance/</w:t>
      </w:r>
    </w:p>
    <w:p w14:paraId="4D10D74A" w14:textId="77777777" w:rsidR="00107F4E" w:rsidRPr="00107F4E" w:rsidRDefault="00107F4E" w:rsidP="00792E58">
      <w:pPr>
        <w:ind w:left="720" w:hanging="720"/>
      </w:pPr>
      <w:r w:rsidRPr="00107F4E">
        <w:t xml:space="preserve">Prof. Bent Flyvbjerg. (2025, June 19). </w:t>
      </w:r>
      <w:r w:rsidRPr="00107F4E">
        <w:rPr>
          <w:i/>
          <w:iCs/>
        </w:rPr>
        <w:t>INTANGIBILITY</w:t>
      </w:r>
      <w:r w:rsidRPr="00107F4E">
        <w:t>. Linkedin.com. https://www.linkedin.com/posts/flyvbjerg_intangibility-reason-2-that-it-is-more-risky-activity-7341253387847446528-vqgy</w:t>
      </w:r>
    </w:p>
    <w:p w14:paraId="1A200E1F" w14:textId="77777777" w:rsidR="00107F4E" w:rsidRPr="00107F4E" w:rsidRDefault="00107F4E" w:rsidP="00792E58">
      <w:pPr>
        <w:ind w:left="720" w:hanging="720"/>
      </w:pPr>
      <w:r w:rsidRPr="00107F4E">
        <w:t xml:space="preserve">Snow, A. P., &amp; Keil, M. (2002). The challenge of accurate software project status reporting: a two-stage model incorporating status errors and reporting bias. </w:t>
      </w:r>
      <w:r w:rsidRPr="00107F4E">
        <w:rPr>
          <w:i/>
          <w:iCs/>
        </w:rPr>
        <w:t>IEEE Transactions on Engineering Management</w:t>
      </w:r>
      <w:r w:rsidRPr="00107F4E">
        <w:t xml:space="preserve">, </w:t>
      </w:r>
      <w:r w:rsidRPr="00107F4E">
        <w:rPr>
          <w:i/>
          <w:iCs/>
        </w:rPr>
        <w:t>49</w:t>
      </w:r>
      <w:r w:rsidRPr="00107F4E">
        <w:t>(4), 491–504. https://doi.org/10.1109/tem.2002.807290</w:t>
      </w:r>
    </w:p>
    <w:p w14:paraId="5DB791F7" w14:textId="77777777" w:rsidR="00107F4E" w:rsidRDefault="00107F4E" w:rsidP="00BB2F70"/>
    <w:sectPr w:rsidR="00107F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F70"/>
    <w:rsid w:val="00085E74"/>
    <w:rsid w:val="000F4462"/>
    <w:rsid w:val="001065F6"/>
    <w:rsid w:val="00107F4E"/>
    <w:rsid w:val="001646E4"/>
    <w:rsid w:val="002B1ADF"/>
    <w:rsid w:val="00665B37"/>
    <w:rsid w:val="00792E58"/>
    <w:rsid w:val="007B3281"/>
    <w:rsid w:val="008614F6"/>
    <w:rsid w:val="009E1E97"/>
    <w:rsid w:val="009F4F1C"/>
    <w:rsid w:val="00BB2F70"/>
    <w:rsid w:val="00E07DE4"/>
    <w:rsid w:val="00ED7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427B6"/>
  <w15:chartTrackingRefBased/>
  <w15:docId w15:val="{AF944763-7B99-430E-A6F2-A11439483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F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F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F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F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F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F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F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F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F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F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F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F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F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F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F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F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F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F70"/>
    <w:rPr>
      <w:rFonts w:eastAsiaTheme="majorEastAsia" w:cstheme="majorBidi"/>
      <w:color w:val="272727" w:themeColor="text1" w:themeTint="D8"/>
    </w:rPr>
  </w:style>
  <w:style w:type="paragraph" w:styleId="Title">
    <w:name w:val="Title"/>
    <w:basedOn w:val="Normal"/>
    <w:next w:val="Normal"/>
    <w:link w:val="TitleChar"/>
    <w:uiPriority w:val="10"/>
    <w:qFormat/>
    <w:rsid w:val="00BB2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F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F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F70"/>
    <w:pPr>
      <w:spacing w:before="160"/>
      <w:jc w:val="center"/>
    </w:pPr>
    <w:rPr>
      <w:i/>
      <w:iCs/>
      <w:color w:val="404040" w:themeColor="text1" w:themeTint="BF"/>
    </w:rPr>
  </w:style>
  <w:style w:type="character" w:customStyle="1" w:styleId="QuoteChar">
    <w:name w:val="Quote Char"/>
    <w:basedOn w:val="DefaultParagraphFont"/>
    <w:link w:val="Quote"/>
    <w:uiPriority w:val="29"/>
    <w:rsid w:val="00BB2F70"/>
    <w:rPr>
      <w:i/>
      <w:iCs/>
      <w:color w:val="404040" w:themeColor="text1" w:themeTint="BF"/>
    </w:rPr>
  </w:style>
  <w:style w:type="paragraph" w:styleId="ListParagraph">
    <w:name w:val="List Paragraph"/>
    <w:basedOn w:val="Normal"/>
    <w:uiPriority w:val="34"/>
    <w:qFormat/>
    <w:rsid w:val="00BB2F70"/>
    <w:pPr>
      <w:ind w:left="720"/>
      <w:contextualSpacing/>
    </w:pPr>
  </w:style>
  <w:style w:type="character" w:styleId="IntenseEmphasis">
    <w:name w:val="Intense Emphasis"/>
    <w:basedOn w:val="DefaultParagraphFont"/>
    <w:uiPriority w:val="21"/>
    <w:qFormat/>
    <w:rsid w:val="00BB2F70"/>
    <w:rPr>
      <w:i/>
      <w:iCs/>
      <w:color w:val="0F4761" w:themeColor="accent1" w:themeShade="BF"/>
    </w:rPr>
  </w:style>
  <w:style w:type="paragraph" w:styleId="IntenseQuote">
    <w:name w:val="Intense Quote"/>
    <w:basedOn w:val="Normal"/>
    <w:next w:val="Normal"/>
    <w:link w:val="IntenseQuoteChar"/>
    <w:uiPriority w:val="30"/>
    <w:qFormat/>
    <w:rsid w:val="00BB2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F70"/>
    <w:rPr>
      <w:i/>
      <w:iCs/>
      <w:color w:val="0F4761" w:themeColor="accent1" w:themeShade="BF"/>
    </w:rPr>
  </w:style>
  <w:style w:type="character" w:styleId="IntenseReference">
    <w:name w:val="Intense Reference"/>
    <w:basedOn w:val="DefaultParagraphFont"/>
    <w:uiPriority w:val="32"/>
    <w:qFormat/>
    <w:rsid w:val="00BB2F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1370</Words>
  <Characters>7811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2</cp:revision>
  <dcterms:created xsi:type="dcterms:W3CDTF">2026-02-08T16:01:00Z</dcterms:created>
  <dcterms:modified xsi:type="dcterms:W3CDTF">2026-02-12T00:50:00Z</dcterms:modified>
</cp:coreProperties>
</file>