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F4B8" w14:textId="203F6DA2" w:rsidR="000F4462" w:rsidRDefault="008F7EF0">
      <w:r>
        <w:t>Topic 4 Discussion 1</w:t>
      </w:r>
    </w:p>
    <w:p w14:paraId="72255E6C" w14:textId="56BD8B3F" w:rsidR="008F7EF0" w:rsidRDefault="008F7EF0">
      <w:r w:rsidRPr="008F7EF0">
        <w:t>Fixed-price contracts, where the contractor bids a fixed price to complete a system development, may be used to move project risk from client to contractor. If anything goes wrong, the contractor has to pay. Suggest how the use of such contracts may increase the likelihood that product risks will arise.</w:t>
      </w:r>
    </w:p>
    <w:p w14:paraId="5E988E20" w14:textId="200FB0DD" w:rsidR="008F7EF0" w:rsidRDefault="009B11E5">
      <w:r>
        <w:t>Hello Class,</w:t>
      </w:r>
    </w:p>
    <w:p w14:paraId="58D12A9D" w14:textId="57043AFA" w:rsidR="009B11E5" w:rsidRDefault="009B11E5" w:rsidP="009B1CDE">
      <w:pPr>
        <w:ind w:firstLine="720"/>
      </w:pPr>
      <w:r w:rsidRPr="009B11E5">
        <w:t xml:space="preserve">Fixed-price contracts, by their nature, transfer significant project risk from the client to the contractor, as the contractor agrees to deliver the system development for a predetermined price regardless of the actual costs incurred. While this arrangement can provide clients with cost certainty, it may inadvertently increase the likelihood of product risks arising. Contractors, motivated to protect their profit margins, might cut corners in design, testing, or quality assurance to avoid cost overruns, potentially compromising the final product's quality and functionality. Additionally, the fixed-price model can discourage flexibility and innovation, as contractors may be reluctant to accommodate changes or improvements once the contract is set, leading to a product that does not fully meet evolving user needs or technical requirements. This rigidity can result in increased defects, reduced usability, or failure to integrate critical features, all of which are key product risks. Furthermore, contractors might underestimate the complexity or scope during bidding to win the contract, leading to rushed development phases and insufficient risk mitigation strategies. </w:t>
      </w:r>
      <w:r w:rsidR="00DC0EBE">
        <w:t>F</w:t>
      </w:r>
      <w:r w:rsidRPr="009B11E5">
        <w:t>ixed-price contracts can exacerbate risk by incentivizing minimal compliance rather than optimal outcomes</w:t>
      </w:r>
      <w:r w:rsidR="00DC0EBE">
        <w:t>(Boehm, 1985).</w:t>
      </w:r>
      <w:r w:rsidRPr="009B11E5">
        <w:t xml:space="preserve"> Sommerville (201</w:t>
      </w:r>
      <w:r w:rsidR="00DC0EBE">
        <w:t>5</w:t>
      </w:r>
      <w:r w:rsidRPr="009B11E5">
        <w:t>) highlights that such contracts often lead to adversarial relationships that hinder collaboration and transparency, further increasing product risk. Therefore, while fixed-price contracts shift financial risk to contractors, they may inadvertently elevate product risks through cost-cutting, inflexibility, and underestimation of project complexity.</w:t>
      </w:r>
    </w:p>
    <w:p w14:paraId="4823AF87" w14:textId="5B2D486D" w:rsidR="009B11E5" w:rsidRDefault="009B11E5" w:rsidP="009B11E5">
      <w:r>
        <w:t>References:</w:t>
      </w:r>
    </w:p>
    <w:p w14:paraId="63E1CFCB" w14:textId="77777777" w:rsidR="009B1CDE" w:rsidRPr="009B1CDE" w:rsidRDefault="009B1CDE" w:rsidP="009B1CDE">
      <w:r w:rsidRPr="009B1CDE">
        <w:t xml:space="preserve">Boehm, B. W. (1985). </w:t>
      </w:r>
      <w:r w:rsidRPr="009B1CDE">
        <w:rPr>
          <w:i/>
          <w:iCs/>
        </w:rPr>
        <w:t>Software engineering economics</w:t>
      </w:r>
      <w:r w:rsidRPr="009B1CDE">
        <w:t>. Prentice-Hall, [Ca. https://dl.acm.org/citation.cfm?id=539425</w:t>
      </w:r>
    </w:p>
    <w:p w14:paraId="68ED858C" w14:textId="77777777" w:rsidR="009B1CDE" w:rsidRPr="009B1CDE" w:rsidRDefault="009B1CDE" w:rsidP="009B1CDE">
      <w:r w:rsidRPr="009B1CDE">
        <w:t xml:space="preserve">Sommerville, I. (2015). </w:t>
      </w:r>
      <w:r w:rsidRPr="009B1CDE">
        <w:rPr>
          <w:i/>
          <w:iCs/>
        </w:rPr>
        <w:t>Software engineering</w:t>
      </w:r>
      <w:r w:rsidRPr="009B1CDE">
        <w:t xml:space="preserve"> (10th ed.). Pearson Education.</w:t>
      </w:r>
    </w:p>
    <w:p w14:paraId="05BABD1F" w14:textId="77777777" w:rsidR="009B11E5" w:rsidRPr="009B11E5" w:rsidRDefault="009B11E5" w:rsidP="009B11E5"/>
    <w:sectPr w:rsidR="009B11E5" w:rsidRPr="009B1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99"/>
    <w:rsid w:val="00085E74"/>
    <w:rsid w:val="000F4462"/>
    <w:rsid w:val="001065F6"/>
    <w:rsid w:val="001646E4"/>
    <w:rsid w:val="002B1ADF"/>
    <w:rsid w:val="00497E9D"/>
    <w:rsid w:val="00665B37"/>
    <w:rsid w:val="007B3281"/>
    <w:rsid w:val="008614F6"/>
    <w:rsid w:val="008F7EF0"/>
    <w:rsid w:val="009B11E5"/>
    <w:rsid w:val="009B1CDE"/>
    <w:rsid w:val="00AE3F52"/>
    <w:rsid w:val="00CB6399"/>
    <w:rsid w:val="00DC0EBE"/>
    <w:rsid w:val="00E07DE4"/>
    <w:rsid w:val="00F76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21FA"/>
  <w15:chartTrackingRefBased/>
  <w15:docId w15:val="{E5A30422-0F9D-4127-9E16-58E2092AC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399"/>
    <w:rPr>
      <w:rFonts w:eastAsiaTheme="majorEastAsia" w:cstheme="majorBidi"/>
      <w:color w:val="272727" w:themeColor="text1" w:themeTint="D8"/>
    </w:rPr>
  </w:style>
  <w:style w:type="paragraph" w:styleId="Title">
    <w:name w:val="Title"/>
    <w:basedOn w:val="Normal"/>
    <w:next w:val="Normal"/>
    <w:link w:val="TitleChar"/>
    <w:uiPriority w:val="10"/>
    <w:qFormat/>
    <w:rsid w:val="00CB6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399"/>
    <w:pPr>
      <w:spacing w:before="160"/>
      <w:jc w:val="center"/>
    </w:pPr>
    <w:rPr>
      <w:i/>
      <w:iCs/>
      <w:color w:val="404040" w:themeColor="text1" w:themeTint="BF"/>
    </w:rPr>
  </w:style>
  <w:style w:type="character" w:customStyle="1" w:styleId="QuoteChar">
    <w:name w:val="Quote Char"/>
    <w:basedOn w:val="DefaultParagraphFont"/>
    <w:link w:val="Quote"/>
    <w:uiPriority w:val="29"/>
    <w:rsid w:val="00CB6399"/>
    <w:rPr>
      <w:i/>
      <w:iCs/>
      <w:color w:val="404040" w:themeColor="text1" w:themeTint="BF"/>
    </w:rPr>
  </w:style>
  <w:style w:type="paragraph" w:styleId="ListParagraph">
    <w:name w:val="List Paragraph"/>
    <w:basedOn w:val="Normal"/>
    <w:uiPriority w:val="34"/>
    <w:qFormat/>
    <w:rsid w:val="00CB6399"/>
    <w:pPr>
      <w:ind w:left="720"/>
      <w:contextualSpacing/>
    </w:pPr>
  </w:style>
  <w:style w:type="character" w:styleId="IntenseEmphasis">
    <w:name w:val="Intense Emphasis"/>
    <w:basedOn w:val="DefaultParagraphFont"/>
    <w:uiPriority w:val="21"/>
    <w:qFormat/>
    <w:rsid w:val="00CB6399"/>
    <w:rPr>
      <w:i/>
      <w:iCs/>
      <w:color w:val="0F4761" w:themeColor="accent1" w:themeShade="BF"/>
    </w:rPr>
  </w:style>
  <w:style w:type="paragraph" w:styleId="IntenseQuote">
    <w:name w:val="Intense Quote"/>
    <w:basedOn w:val="Normal"/>
    <w:next w:val="Normal"/>
    <w:link w:val="IntenseQuoteChar"/>
    <w:uiPriority w:val="30"/>
    <w:qFormat/>
    <w:rsid w:val="00CB6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99"/>
    <w:rPr>
      <w:i/>
      <w:iCs/>
      <w:color w:val="0F4761" w:themeColor="accent1" w:themeShade="BF"/>
    </w:rPr>
  </w:style>
  <w:style w:type="character" w:styleId="IntenseReference">
    <w:name w:val="Intense Reference"/>
    <w:basedOn w:val="DefaultParagraphFont"/>
    <w:uiPriority w:val="32"/>
    <w:qFormat/>
    <w:rsid w:val="00CB6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2025-12-18T00:52:00Z</dcterms:created>
  <dcterms:modified xsi:type="dcterms:W3CDTF">2026-02-07T00:39:00Z</dcterms:modified>
</cp:coreProperties>
</file>