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0616" w14:textId="411C5964" w:rsidR="000F4462" w:rsidRDefault="00D86385">
      <w:r>
        <w:t>Topic 7 Discussion 1</w:t>
      </w:r>
    </w:p>
    <w:p w14:paraId="074760B0" w14:textId="5CC45F3F" w:rsidR="00D86385" w:rsidRDefault="00D86385">
      <w:r w:rsidRPr="00D86385">
        <w:t>You are asked to pick out a programming language to be used internally in a company. Identify how a poor choice could cause an ethical situation. Provide sufficient details that describe the choice made and the unethical situation that could occur.</w:t>
      </w:r>
    </w:p>
    <w:p w14:paraId="272F48BD" w14:textId="55F0B50C" w:rsidR="00D86385" w:rsidRDefault="00D86385">
      <w:r>
        <w:t>Hello Class,</w:t>
      </w:r>
    </w:p>
    <w:p w14:paraId="55DDCA61" w14:textId="5294A49E" w:rsidR="00D86385" w:rsidRDefault="00D86385" w:rsidP="00D86385">
      <w:pPr>
        <w:ind w:firstLine="720"/>
      </w:pPr>
      <w:r w:rsidRPr="00D86385">
        <w:t>Choosing a programming language for internal use in a company is a critical decision that can have far-reaching ethical implications. A poor choice, such as selecting a language that lacks robust security features or has a history of vulnerabilities, can lead to significant ethical dilemmas. For example, if a company opts for a language that does not support strong data encryption or secure coding practices, the software developed may be prone to security breaches. This vulnerability can expose sensitive customer data, leading to privacy violations and loss of trust. Ethically, the company has a responsibility to protect user data and ensure software integrity; failing to do so can result in harm to customers, legal consequences, and damage to the company’s reputation. Moreover, choosing a language that is not well-supported or widely understood by the development team can lead to poorly maintained code, increasing the risk of bugs and system failures. This negligence can cause operational disruptions affecting stakeholders and potentially endangering users, especially in critical sectors like healthcare or finance. Thus, the ethical situation arises from the company’s duty to make informed, responsible technology choices that prioritize security, maintainability, and user safety. References to ethical frameworks such as the ACM Code of Ethics emphasize the obligation of computing professionals to avoid harm and ensure the public good, underscoring the importance of prudent language selection in software development.</w:t>
      </w:r>
    </w:p>
    <w:p w14:paraId="13B3BCC5" w14:textId="42B9F39D" w:rsidR="00D86385" w:rsidRDefault="00D86385" w:rsidP="00D86385">
      <w:r>
        <w:t>References:</w:t>
      </w:r>
    </w:p>
    <w:p w14:paraId="352A19D6" w14:textId="77777777" w:rsidR="00D86385" w:rsidRPr="00D86385" w:rsidRDefault="00D86385" w:rsidP="00D86385">
      <w:r w:rsidRPr="00D86385">
        <w:t xml:space="preserve">Association for Computing Machinery. (2018, June 22). </w:t>
      </w:r>
      <w:r w:rsidRPr="00D86385">
        <w:rPr>
          <w:i/>
          <w:iCs/>
        </w:rPr>
        <w:t>ACM Code of Ethics and Professional Conduct</w:t>
      </w:r>
      <w:r w:rsidRPr="00D86385">
        <w:t>. Association for Computing Machinery. https://www.acm.org/code-of-ethics</w:t>
      </w:r>
    </w:p>
    <w:p w14:paraId="2B2DFAE3" w14:textId="77777777" w:rsidR="00D86385" w:rsidRPr="00D86385" w:rsidRDefault="00D86385" w:rsidP="00D86385">
      <w:r w:rsidRPr="00D86385">
        <w:t xml:space="preserve">Diomidis Spinellis. (2006). </w:t>
      </w:r>
      <w:r w:rsidRPr="00D86385">
        <w:rPr>
          <w:i/>
          <w:iCs/>
        </w:rPr>
        <w:t>Code Quality</w:t>
      </w:r>
      <w:r w:rsidRPr="00D86385">
        <w:t>. Adobe Press.</w:t>
      </w:r>
    </w:p>
    <w:p w14:paraId="1DFEAFA2" w14:textId="77777777" w:rsidR="00D86385" w:rsidRPr="00D86385" w:rsidRDefault="00D86385" w:rsidP="00D86385">
      <w:r w:rsidRPr="00D86385">
        <w:t xml:space="preserve">IEEE. (2020, June). </w:t>
      </w:r>
      <w:r w:rsidRPr="00D86385">
        <w:rPr>
          <w:i/>
          <w:iCs/>
        </w:rPr>
        <w:t>IEEE Code of Ethics</w:t>
      </w:r>
      <w:r w:rsidRPr="00D86385">
        <w:t>. Ieee.org; IEEE. https://www.ieee.org/about/corporate/governance/p7-8.html</w:t>
      </w:r>
    </w:p>
    <w:p w14:paraId="54CA480A" w14:textId="59793A7A" w:rsidR="00D86385" w:rsidRPr="00D86385" w:rsidRDefault="00D86385" w:rsidP="00D86385">
      <w:proofErr w:type="spellStart"/>
      <w:r w:rsidRPr="00D86385">
        <w:t>Mcgraw</w:t>
      </w:r>
      <w:proofErr w:type="spellEnd"/>
      <w:r w:rsidRPr="00D86385">
        <w:t xml:space="preserve">, G. (2006). </w:t>
      </w:r>
      <w:r w:rsidRPr="00D86385">
        <w:rPr>
          <w:i/>
          <w:iCs/>
        </w:rPr>
        <w:t>Software security : building security in</w:t>
      </w:r>
      <w:r w:rsidRPr="00D86385">
        <w:t>. Addison-Wesley.</w:t>
      </w:r>
    </w:p>
    <w:sectPr w:rsidR="00D86385" w:rsidRPr="00D86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64"/>
    <w:rsid w:val="00085E74"/>
    <w:rsid w:val="000F4462"/>
    <w:rsid w:val="001065F6"/>
    <w:rsid w:val="001646E4"/>
    <w:rsid w:val="00200F62"/>
    <w:rsid w:val="002B1ADF"/>
    <w:rsid w:val="00665B37"/>
    <w:rsid w:val="007B3281"/>
    <w:rsid w:val="008614F6"/>
    <w:rsid w:val="00996564"/>
    <w:rsid w:val="00D86385"/>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275BA"/>
  <w15:chartTrackingRefBased/>
  <w15:docId w15:val="{0471B33D-FC40-4B54-8A54-88FEE7D1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564"/>
    <w:rPr>
      <w:rFonts w:eastAsiaTheme="majorEastAsia" w:cstheme="majorBidi"/>
      <w:color w:val="272727" w:themeColor="text1" w:themeTint="D8"/>
    </w:rPr>
  </w:style>
  <w:style w:type="paragraph" w:styleId="Title">
    <w:name w:val="Title"/>
    <w:basedOn w:val="Normal"/>
    <w:next w:val="Normal"/>
    <w:link w:val="TitleChar"/>
    <w:uiPriority w:val="10"/>
    <w:qFormat/>
    <w:rsid w:val="00996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564"/>
    <w:pPr>
      <w:spacing w:before="160"/>
      <w:jc w:val="center"/>
    </w:pPr>
    <w:rPr>
      <w:i/>
      <w:iCs/>
      <w:color w:val="404040" w:themeColor="text1" w:themeTint="BF"/>
    </w:rPr>
  </w:style>
  <w:style w:type="character" w:customStyle="1" w:styleId="QuoteChar">
    <w:name w:val="Quote Char"/>
    <w:basedOn w:val="DefaultParagraphFont"/>
    <w:link w:val="Quote"/>
    <w:uiPriority w:val="29"/>
    <w:rsid w:val="00996564"/>
    <w:rPr>
      <w:i/>
      <w:iCs/>
      <w:color w:val="404040" w:themeColor="text1" w:themeTint="BF"/>
    </w:rPr>
  </w:style>
  <w:style w:type="paragraph" w:styleId="ListParagraph">
    <w:name w:val="List Paragraph"/>
    <w:basedOn w:val="Normal"/>
    <w:uiPriority w:val="34"/>
    <w:qFormat/>
    <w:rsid w:val="00996564"/>
    <w:pPr>
      <w:ind w:left="720"/>
      <w:contextualSpacing/>
    </w:pPr>
  </w:style>
  <w:style w:type="character" w:styleId="IntenseEmphasis">
    <w:name w:val="Intense Emphasis"/>
    <w:basedOn w:val="DefaultParagraphFont"/>
    <w:uiPriority w:val="21"/>
    <w:qFormat/>
    <w:rsid w:val="00996564"/>
    <w:rPr>
      <w:i/>
      <w:iCs/>
      <w:color w:val="0F4761" w:themeColor="accent1" w:themeShade="BF"/>
    </w:rPr>
  </w:style>
  <w:style w:type="paragraph" w:styleId="IntenseQuote">
    <w:name w:val="Intense Quote"/>
    <w:basedOn w:val="Normal"/>
    <w:next w:val="Normal"/>
    <w:link w:val="IntenseQuoteChar"/>
    <w:uiPriority w:val="30"/>
    <w:qFormat/>
    <w:rsid w:val="00996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564"/>
    <w:rPr>
      <w:i/>
      <w:iCs/>
      <w:color w:val="0F4761" w:themeColor="accent1" w:themeShade="BF"/>
    </w:rPr>
  </w:style>
  <w:style w:type="character" w:styleId="IntenseReference">
    <w:name w:val="Intense Reference"/>
    <w:basedOn w:val="DefaultParagraphFont"/>
    <w:uiPriority w:val="32"/>
    <w:qFormat/>
    <w:rsid w:val="00996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2026-04-04T23:15:00Z</dcterms:created>
  <dcterms:modified xsi:type="dcterms:W3CDTF">2026-04-04T23:20:00Z</dcterms:modified>
</cp:coreProperties>
</file>