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GAME SPECIFICATION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3×3 Symbol Match Instant Game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 Version 1.0  |  Prepared for Internal / Vendor Use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1. Game Overview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3×3 Symbol Match instant game presents each ticket with a nine-cell grid (3 rows × 3 columns). Nine distinct symbols are used across the game, each permanently associated with one prize level. A ticket is a winner if any single symbol appears in three or more of the nine grid cells; the ticket pays the prize assigned to that symbol.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Ticket Price: </w:t>
      </w:r>
      <w:r>
        <w:rPr>
          <w:rFonts w:ascii="Calibri" w:cs="Calibri" w:eastAsia="Calibri" w:hAnsi="Calibri"/>
          <w:sz w:val="21"/>
          <w:szCs w:val="21"/>
        </w:rPr>
        <w:t xml:space="preserve">1.00 unit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Grid Layout: </w:t>
      </w:r>
      <w:r>
        <w:rPr>
          <w:rFonts w:ascii="Calibri" w:cs="Calibri" w:eastAsia="Calibri" w:hAnsi="Calibri"/>
          <w:sz w:val="21"/>
          <w:szCs w:val="21"/>
        </w:rPr>
        <w:t xml:space="preserve">3 × 3 (9 total symbol positions per ticket)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Number of Distinct Symbols: </w:t>
      </w:r>
      <w:r>
        <w:rPr>
          <w:rFonts w:ascii="Calibri" w:cs="Calibri" w:eastAsia="Calibri" w:hAnsi="Calibri"/>
          <w:sz w:val="21"/>
          <w:szCs w:val="21"/>
        </w:rPr>
        <w:t xml:space="preserve">9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Win Condition: </w:t>
      </w:r>
      <w:r>
        <w:rPr>
          <w:rFonts w:ascii="Calibri" w:cs="Calibri" w:eastAsia="Calibri" w:hAnsi="Calibri"/>
          <w:sz w:val="21"/>
          <w:szCs w:val="21"/>
        </w:rPr>
        <w:t xml:space="preserve">3 or more matching symbols anywhere among the 9 positions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Game Population: </w:t>
      </w:r>
      <w:r>
        <w:rPr>
          <w:rFonts w:ascii="Calibri" w:cs="Calibri" w:eastAsia="Calibri" w:hAnsi="Calibri"/>
          <w:sz w:val="21"/>
          <w:szCs w:val="21"/>
        </w:rPr>
        <w:t xml:space="preserve">1,000,000 tickets per production run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2. Symbol Set &amp; Prize Table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Each of the 9 symbols is assigned exactly one fixed prize value. Symbols are ordered below from lowest to highest prize; winning-ticket frequency decreases as prize value increases, consistent with standard par-sheet design practice.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500"/>
        <w:gridCol w:w="1700"/>
        <w:gridCol w:w="1700"/>
        <w:gridCol w:w="1600"/>
        <w:gridCol w:w="1150"/>
      </w:tblGrid>
      <w:tr>
        <w:trPr>
          <w:tblHeader/>
        </w:trPr>
        <w:tc>
          <w:tcPr>
            <w:tcW w:type="dxa" w:w="9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1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15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Prize (units)</w:t>
            </w:r>
          </w:p>
        </w:tc>
        <w:tc>
          <w:tcPr>
            <w:tcW w:type="dxa" w:w="17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Winning Tickets
(per 1,000,000)</w:t>
            </w:r>
          </w:p>
        </w:tc>
        <w:tc>
          <w:tcPr>
            <w:tcW w:type="dxa" w:w="17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Odds of Winning</w:t>
            </w:r>
          </w:p>
        </w:tc>
        <w:tc>
          <w:tcPr>
            <w:tcW w:type="dxa" w:w="16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Payout
(units)</w:t>
            </w:r>
          </w:p>
        </w:tc>
        <w:tc>
          <w:tcPr>
            <w:tcW w:type="dxa" w:w="115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Prize
Pool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Cherry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$0.50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150,000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6.67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$75,000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10.0%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Bell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$1.00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16.67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$60,000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Clover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$2.00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30,000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33.33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$60,000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$5.00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12,000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83.33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$60,000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Horseshoe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$10.00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6,000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166.67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$60,000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Diamond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$20.00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250.00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$80,000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10.7%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Crown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$50.00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2,000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500.00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$100,000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13.3%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Wild Card 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$100.00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1,000.00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$100,000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13.3%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Jackpot Coin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$500.00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in 3,225.81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$155,000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20.7%</w:t>
            </w:r>
          </w:p>
        </w:tc>
      </w:tr>
      <w:tr>
        <w:tc>
          <w:tcPr>
            <w:tcW w:type="dxa" w:w="9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265,310</w:t>
            </w:r>
          </w:p>
        </w:tc>
        <w:tc>
          <w:tcPr>
            <w:tcW w:type="dxa" w:w="17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 in 3.77</w:t>
            </w:r>
          </w:p>
        </w:tc>
        <w:tc>
          <w:tcPr>
            <w:tcW w:type="dxa" w:w="160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$750,000</w:t>
            </w:r>
          </w:p>
        </w:tc>
        <w:tc>
          <w:tcPr>
            <w:tcW w:type="dxa" w:w="1150"/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3. Game-Level Statistics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following figures summarize the game's overall performance across the full 1,000,000-ticket population and are derived directly from the prize table above.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50"/>
      </w:tblGrid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Ticket Price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 unit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Tickets Printed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Winning Tickets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265,310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Losing Tickets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734,690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Overall Odds of Winning Any Prize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in 3.77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Overall Win Probability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26.531%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1,000,000 units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Prize Payout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750,000 units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Payout / Return to Player (RTP)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52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Hold Percentage</w:t>
            </w:r>
          </w:p>
        </w:tc>
        <w:tc>
          <w:tcPr>
            <w:tcW w:type="dxa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25.0%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4. Win Determination Logic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 ticket's outcome is determined by counting occurrences of each symbol across its 9 grid positions: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any one symbol occurs 3, 4, 5, 6, 7, 8, or 9 times among the 9 positions, the ticket is a WINNER and pays the prize value assigned to that symbol.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every symbol on the ticket occurs 2 times or fewer, the ticket is a LOSER and pays nothing.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Ticket layout generation is constrained so that at most one symbol can reach a 3-or-more count per ticket, eliminating multi-symbol win conflicts.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Example winning grid (symbol I — top prize $500.00):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</w:t>
            </w:r>
          </w:p>
        </w:tc>
        <w:tc>
          <w:tcPr>
            <w:tcW w:type="dxa" w:w="700"/>
            <w:shd w:fill="E2EFD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H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Example losing grid (no symbol reaches 3 occurrences):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</w:t>
            </w:r>
          </w:p>
        </w:tc>
      </w:tr>
      <w:tr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G</w:t>
            </w:r>
          </w:p>
        </w:tc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H</w:t>
            </w:r>
          </w:p>
        </w:tc>
        <w:tc>
          <w:tcPr>
            <w:tcW w:type="dxa" w:w="700"/>
            <w:shd w:fill="FCE4E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I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5. Randomization &amp; Ticket Generation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Symbol placement across the 1,000,000-ticket population must be generated using a certified random number generator (RNG) or equivalent shuffle/allocation algorithm.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Exact winning-ticket counts per prize tier (Section 2) must be pre-allocated across the population before shuffling, so realized frequencies match the par sheet exactly — this is a fixed-pool (par-sheet-controlled) game, not a live-probability game.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After allocation, ticket order must be randomized (cryptographically shuffled) so that winning tickets are distributed unpredictably throughout the print/production 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two tickets in the population may share the same validation/serial number.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final distribution must be independently verified against the par sheet prior to release (see Section 2 and 3 totals).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6. Ticket Validation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ticket carries a unique serial number and a separate encrypted validation number, not visibly linked to the prize amount or winning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Prize amount and win/loss status must not be inferable from the serial number sequence.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central validation system must be used to confirm winning status and prevent duplicate claims for any single validation number.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Void, damaged, or duplicate tickets must fail validation automatically.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7. Payout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Total revenue at 1,000,000 tickets sold at 1.00 unit per ticket is 1,000,000 units. Total prize payout across all 9 tiers is 750,000 units, yielding a payout / return-to-player (RTP) of 75.0% and an operator hold of 25.0%. Payout weight is concentrated toward the top three prize tiers (G, H, I), which together account for 47.3% of total prize funds while representing only 1.24% of all winning tickets — a fewer-but-larger-prizes structure.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8. Reference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specification is derived from, and must remain reconciled with, the companion Par Sheet workbook (“par_sheet_3x3_symbol_match.xlsx”), which is the authoritative source for all prize, frequency, and odds calculations. Any change to prize values or winning-ticket counts must be updated in the par sheet first, then reflected here.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7F7F7F"/>
        <w:sz w:val="16"/>
        <w:szCs w:val="16"/>
      </w:rPr>
      <w:t xml:space="preserve">3×3 Symbol Match — Game Specification</w:t>
    </w:r>
    <w:r>
      <w:rPr>
        <w:rFonts w:ascii="Calibri" w:cs="Calibri" w:eastAsia="Calibri" w:hAnsi="Calibri"/>
        <w:color w:val="7F7F7F"/>
        <w:sz w:val="16"/>
        <w:szCs w:val="16"/>
      </w:rPr>
      <w:t xml:space="preserve">	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2026-08-19T20:23:15.752Z</dcterms:created>
  <dcterms:modified xsi:type="dcterms:W3CDTF">2026-08-19T20:23:15.753Z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