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D946FC" w14:textId="77777777" w:rsidR="00FC6EC1" w:rsidRDefault="00000000">
      <w:pPr>
        <w:spacing w:before="200"/>
        <w:jc w:val="center"/>
      </w:pPr>
      <w:r>
        <w:rPr>
          <w:rFonts w:eastAsia="Calibri"/>
          <w:b/>
          <w:color w:val="2E74B5"/>
        </w:rPr>
        <w:t>PRELIMINARY CAPSTONE PROJECT SPECIFICATION</w:t>
      </w:r>
    </w:p>
    <w:p w14:paraId="4A84EFBD" w14:textId="77777777" w:rsidR="00FC6EC1" w:rsidRDefault="00000000">
      <w:pPr>
        <w:spacing w:after="120"/>
        <w:jc w:val="center"/>
      </w:pPr>
      <w:r>
        <w:rPr>
          <w:rFonts w:eastAsia="Calibri"/>
          <w:b/>
          <w:sz w:val="43"/>
        </w:rPr>
        <w:t>Design and Performance Evaluation of a Hybrid</w:t>
      </w:r>
      <w:r>
        <w:rPr>
          <w:rFonts w:eastAsia="Calibri"/>
          <w:b/>
          <w:sz w:val="43"/>
        </w:rPr>
        <w:br/>
        <w:t>Post-Quantum Secure Communication System</w:t>
      </w:r>
    </w:p>
    <w:p w14:paraId="68EDF65B" w14:textId="77777777" w:rsidR="00FC6EC1" w:rsidRDefault="00000000">
      <w:pPr>
        <w:spacing w:after="280"/>
        <w:jc w:val="center"/>
      </w:pPr>
      <w:r>
        <w:rPr>
          <w:rFonts w:eastAsia="Calibri"/>
          <w:i/>
          <w:color w:val="5F6368"/>
          <w:sz w:val="25"/>
        </w:rPr>
        <w:t>Research theme, proposed artefact, experimental protocol and AI impact assessment</w:t>
      </w:r>
    </w:p>
    <w:p w14:paraId="0C10F2F4" w14:textId="77777777" w:rsidR="00FC6EC1" w:rsidRDefault="00000000">
      <w:pPr>
        <w:spacing w:after="40"/>
        <w:jc w:val="center"/>
      </w:pPr>
      <w:r>
        <w:rPr>
          <w:rFonts w:eastAsia="Calibri"/>
          <w:b/>
        </w:rPr>
        <w:t>Ricardo Andrade Cortes</w:t>
      </w:r>
    </w:p>
    <w:p w14:paraId="014531B8" w14:textId="77777777" w:rsidR="00FC6EC1" w:rsidRDefault="00000000">
      <w:pPr>
        <w:spacing w:after="40"/>
        <w:jc w:val="center"/>
      </w:pPr>
      <w:r>
        <w:rPr>
          <w:rFonts w:eastAsia="Calibri"/>
          <w:color w:val="5F6368"/>
          <w:sz w:val="21"/>
        </w:rPr>
        <w:t>MSc Cyber Security | University of Liverpool Online</w:t>
      </w:r>
    </w:p>
    <w:p w14:paraId="5691005D" w14:textId="77777777" w:rsidR="00FC6EC1" w:rsidRDefault="00000000">
      <w:pPr>
        <w:spacing w:after="280"/>
        <w:jc w:val="center"/>
      </w:pPr>
      <w:r>
        <w:rPr>
          <w:rFonts w:eastAsia="Calibri"/>
          <w:color w:val="5F6368"/>
          <w:sz w:val="21"/>
        </w:rPr>
        <w:t>July 2026 | Version 6 | Preliminary artefact aligned to the implemented software</w:t>
      </w:r>
    </w:p>
    <w:p w14:paraId="13C7C32F" w14:textId="77777777" w:rsidR="00FC6EC1" w:rsidRDefault="00000000">
      <w:pPr>
        <w:pBdr>
          <w:left w:val="single" w:sz="18" w:space="8" w:color="2E74B5"/>
        </w:pBdr>
        <w:shd w:val="clear" w:color="auto" w:fill="F4F6F9"/>
        <w:spacing w:before="120" w:after="200" w:line="276" w:lineRule="auto"/>
        <w:ind w:left="216" w:right="216"/>
        <w:jc w:val="left"/>
      </w:pPr>
      <w:r>
        <w:rPr>
          <w:rFonts w:eastAsia="Calibri"/>
          <w:b/>
          <w:color w:val="1F4D78"/>
        </w:rPr>
        <w:t xml:space="preserve">Status note: </w:t>
      </w:r>
      <w:r>
        <w:rPr>
          <w:rFonts w:eastAsia="Calibri"/>
        </w:rPr>
        <w:t>This document presents a provisional and deliberately bounded project specification. It will be aligned to the official module brief, rubric, ethics process and supervisor guidance when these become available.</w:t>
      </w:r>
    </w:p>
    <w:p w14:paraId="7197A761" w14:textId="77777777" w:rsidR="00FC6EC1" w:rsidRDefault="00000000">
      <w:pPr>
        <w:pStyle w:val="Heading1"/>
      </w:pPr>
      <w:r>
        <w:t>Project summary</w:t>
      </w:r>
    </w:p>
    <w:p w14:paraId="61FD351D" w14:textId="77777777" w:rsidR="00FC6EC1" w:rsidRDefault="00000000">
      <w:r>
        <w:t>The proposed project will design and evaluate a reproducible laboratory platform for comparing classical X25519, post-quantum MLKEM768 and hybrid X25519MLKEM768 key establishment in TLS 1.3. The experiment will measure performance and reliability under controlled latency and packet-loss conditions. A secondary, non-experimental assessment will examine how artificial intelligence may support or weaken cryptographic discovery, code transformation, testing and assurance during post-quantum migration. The intended outputs are a transparent benchmarking artefact, empirically grounded migration guidance, and an AI-PQC impact and governance matrix.</w:t>
      </w:r>
    </w:p>
    <w:tbl>
      <w:tblPr>
        <w:tblStyle w:val="TableGrid"/>
        <w:tblW w:w="9360" w:type="dxa"/>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ayout w:type="fixed"/>
        <w:tblLook w:val="04A0" w:firstRow="1" w:lastRow="0" w:firstColumn="1" w:lastColumn="0" w:noHBand="0" w:noVBand="1"/>
      </w:tblPr>
      <w:tblGrid>
        <w:gridCol w:w="2160"/>
        <w:gridCol w:w="7200"/>
      </w:tblGrid>
      <w:tr w:rsidR="00FC6EC1" w14:paraId="33E95BA2" w14:textId="77777777">
        <w:trPr>
          <w:cantSplit/>
          <w:tblHeader/>
        </w:trPr>
        <w:tc>
          <w:tcPr>
            <w:tcW w:w="2160" w:type="dxa"/>
            <w:shd w:val="clear" w:color="auto" w:fill="F4F6F9"/>
            <w:tcMar>
              <w:top w:w="80" w:type="dxa"/>
              <w:left w:w="120" w:type="dxa"/>
              <w:bottom w:w="80" w:type="dxa"/>
              <w:right w:w="120" w:type="dxa"/>
            </w:tcMar>
            <w:vAlign w:val="center"/>
          </w:tcPr>
          <w:p w14:paraId="49EB838F" w14:textId="77777777" w:rsidR="00FC6EC1" w:rsidRDefault="00000000">
            <w:pPr>
              <w:pStyle w:val="TableText"/>
            </w:pPr>
            <w:r>
              <w:rPr>
                <w:rFonts w:eastAsia="Calibri"/>
                <w:b/>
                <w:color w:val="1F4D78"/>
              </w:rPr>
              <w:t>Element</w:t>
            </w:r>
          </w:p>
        </w:tc>
        <w:tc>
          <w:tcPr>
            <w:tcW w:w="7200" w:type="dxa"/>
            <w:shd w:val="clear" w:color="auto" w:fill="F4F6F9"/>
            <w:tcMar>
              <w:top w:w="80" w:type="dxa"/>
              <w:left w:w="120" w:type="dxa"/>
              <w:bottom w:w="80" w:type="dxa"/>
              <w:right w:w="120" w:type="dxa"/>
            </w:tcMar>
            <w:vAlign w:val="center"/>
          </w:tcPr>
          <w:p w14:paraId="6B22DF9C" w14:textId="77777777" w:rsidR="00FC6EC1" w:rsidRDefault="00000000">
            <w:pPr>
              <w:pStyle w:val="TableText"/>
            </w:pPr>
            <w:r>
              <w:rPr>
                <w:rFonts w:eastAsia="Calibri"/>
                <w:b/>
                <w:color w:val="1F4D78"/>
              </w:rPr>
              <w:t>Working specification</w:t>
            </w:r>
          </w:p>
        </w:tc>
      </w:tr>
      <w:tr w:rsidR="00FC6EC1" w14:paraId="04DF2291" w14:textId="77777777">
        <w:trPr>
          <w:cantSplit/>
        </w:trPr>
        <w:tc>
          <w:tcPr>
            <w:tcW w:w="2160" w:type="dxa"/>
            <w:tcMar>
              <w:top w:w="80" w:type="dxa"/>
              <w:left w:w="120" w:type="dxa"/>
              <w:bottom w:w="80" w:type="dxa"/>
              <w:right w:w="120" w:type="dxa"/>
            </w:tcMar>
            <w:vAlign w:val="center"/>
          </w:tcPr>
          <w:p w14:paraId="1A6D285A" w14:textId="77777777" w:rsidR="00FC6EC1" w:rsidRDefault="00000000">
            <w:pPr>
              <w:pStyle w:val="TableText"/>
            </w:pPr>
            <w:r>
              <w:rPr>
                <w:rFonts w:eastAsia="Calibri"/>
              </w:rPr>
              <w:t>Research problem</w:t>
            </w:r>
          </w:p>
        </w:tc>
        <w:tc>
          <w:tcPr>
            <w:tcW w:w="7200" w:type="dxa"/>
            <w:tcMar>
              <w:top w:w="80" w:type="dxa"/>
              <w:left w:w="120" w:type="dxa"/>
              <w:bottom w:w="80" w:type="dxa"/>
              <w:right w:w="120" w:type="dxa"/>
            </w:tcMar>
            <w:vAlign w:val="center"/>
          </w:tcPr>
          <w:p w14:paraId="68B1B7A5" w14:textId="77777777" w:rsidR="00FC6EC1" w:rsidRDefault="00000000">
            <w:pPr>
              <w:pStyle w:val="TableText"/>
            </w:pPr>
            <w:r>
              <w:rPr>
                <w:rFonts w:eastAsia="Calibri"/>
              </w:rPr>
              <w:t>Organisations need deployment evidence for classical, post-quantum and hybrid TLS migration choices.</w:t>
            </w:r>
          </w:p>
        </w:tc>
      </w:tr>
      <w:tr w:rsidR="00FC6EC1" w14:paraId="279F7B1D" w14:textId="77777777">
        <w:trPr>
          <w:cantSplit/>
        </w:trPr>
        <w:tc>
          <w:tcPr>
            <w:tcW w:w="2160" w:type="dxa"/>
            <w:tcMar>
              <w:top w:w="80" w:type="dxa"/>
              <w:left w:w="120" w:type="dxa"/>
              <w:bottom w:w="80" w:type="dxa"/>
              <w:right w:w="120" w:type="dxa"/>
            </w:tcMar>
            <w:vAlign w:val="center"/>
          </w:tcPr>
          <w:p w14:paraId="7F3DBE2F" w14:textId="77777777" w:rsidR="00FC6EC1" w:rsidRDefault="00000000">
            <w:pPr>
              <w:pStyle w:val="TableText"/>
            </w:pPr>
            <w:r>
              <w:rPr>
                <w:rFonts w:eastAsia="Calibri"/>
              </w:rPr>
              <w:t>Core method</w:t>
            </w:r>
          </w:p>
        </w:tc>
        <w:tc>
          <w:tcPr>
            <w:tcW w:w="7200" w:type="dxa"/>
            <w:tcMar>
              <w:top w:w="80" w:type="dxa"/>
              <w:left w:w="120" w:type="dxa"/>
              <w:bottom w:w="80" w:type="dxa"/>
              <w:right w:w="120" w:type="dxa"/>
            </w:tcMar>
            <w:vAlign w:val="center"/>
          </w:tcPr>
          <w:p w14:paraId="7EB60309" w14:textId="77777777" w:rsidR="00FC6EC1" w:rsidRDefault="00000000">
            <w:pPr>
              <w:pStyle w:val="TableText"/>
            </w:pPr>
            <w:r>
              <w:rPr>
                <w:rFonts w:eastAsia="Calibri"/>
              </w:rPr>
              <w:t>Design-science artefact plus a blocked, repeated laboratory experiment.</w:t>
            </w:r>
          </w:p>
        </w:tc>
      </w:tr>
      <w:tr w:rsidR="00FC6EC1" w14:paraId="4E7EDCA5" w14:textId="77777777">
        <w:trPr>
          <w:cantSplit/>
        </w:trPr>
        <w:tc>
          <w:tcPr>
            <w:tcW w:w="2160" w:type="dxa"/>
            <w:tcMar>
              <w:top w:w="80" w:type="dxa"/>
              <w:left w:w="120" w:type="dxa"/>
              <w:bottom w:w="80" w:type="dxa"/>
              <w:right w:w="120" w:type="dxa"/>
            </w:tcMar>
            <w:vAlign w:val="center"/>
          </w:tcPr>
          <w:p w14:paraId="2C42D157" w14:textId="77777777" w:rsidR="00FC6EC1" w:rsidRDefault="00000000">
            <w:pPr>
              <w:pStyle w:val="TableText"/>
            </w:pPr>
            <w:r>
              <w:rPr>
                <w:rFonts w:eastAsia="Calibri"/>
              </w:rPr>
              <w:t>Main comparison</w:t>
            </w:r>
          </w:p>
        </w:tc>
        <w:tc>
          <w:tcPr>
            <w:tcW w:w="7200" w:type="dxa"/>
            <w:tcMar>
              <w:top w:w="80" w:type="dxa"/>
              <w:left w:w="120" w:type="dxa"/>
              <w:bottom w:w="80" w:type="dxa"/>
              <w:right w:w="120" w:type="dxa"/>
            </w:tcMar>
            <w:vAlign w:val="center"/>
          </w:tcPr>
          <w:p w14:paraId="1A65CD3A" w14:textId="77777777" w:rsidR="00FC6EC1" w:rsidRDefault="00000000">
            <w:pPr>
              <w:pStyle w:val="TableText"/>
            </w:pPr>
            <w:r>
              <w:rPr>
                <w:rFonts w:eastAsia="Calibri"/>
              </w:rPr>
              <w:t>X25519, MLKEM768 and X25519MLKEM768.</w:t>
            </w:r>
          </w:p>
        </w:tc>
      </w:tr>
      <w:tr w:rsidR="00FC6EC1" w14:paraId="7E8D2CF9" w14:textId="77777777">
        <w:trPr>
          <w:cantSplit/>
        </w:trPr>
        <w:tc>
          <w:tcPr>
            <w:tcW w:w="2160" w:type="dxa"/>
            <w:tcMar>
              <w:top w:w="80" w:type="dxa"/>
              <w:left w:w="120" w:type="dxa"/>
              <w:bottom w:w="80" w:type="dxa"/>
              <w:right w:w="120" w:type="dxa"/>
            </w:tcMar>
            <w:vAlign w:val="center"/>
          </w:tcPr>
          <w:p w14:paraId="73E39715" w14:textId="77777777" w:rsidR="00FC6EC1" w:rsidRDefault="00000000">
            <w:pPr>
              <w:pStyle w:val="TableText"/>
            </w:pPr>
            <w:r>
              <w:rPr>
                <w:rFonts w:eastAsia="Calibri"/>
              </w:rPr>
              <w:t>Primary evidence</w:t>
            </w:r>
          </w:p>
        </w:tc>
        <w:tc>
          <w:tcPr>
            <w:tcW w:w="7200" w:type="dxa"/>
            <w:tcMar>
              <w:top w:w="80" w:type="dxa"/>
              <w:left w:w="120" w:type="dxa"/>
              <w:bottom w:w="80" w:type="dxa"/>
              <w:right w:w="120" w:type="dxa"/>
            </w:tcMar>
            <w:vAlign w:val="center"/>
          </w:tcPr>
          <w:p w14:paraId="7D27E51B" w14:textId="77777777" w:rsidR="00FC6EC1" w:rsidRDefault="00000000">
            <w:pPr>
              <w:pStyle w:val="TableText"/>
            </w:pPr>
            <w:r>
              <w:rPr>
                <w:rFonts w:eastAsia="Calibri"/>
              </w:rPr>
              <w:t>Handshake latency, reliability, directional TLS-library byte counters and batch-aware analysis. Throughput and resource measures are separate or limited evidence, not primary container endpoints.</w:t>
            </w:r>
          </w:p>
        </w:tc>
      </w:tr>
      <w:tr w:rsidR="00FC6EC1" w14:paraId="40910307" w14:textId="77777777">
        <w:trPr>
          <w:cantSplit/>
        </w:trPr>
        <w:tc>
          <w:tcPr>
            <w:tcW w:w="2160" w:type="dxa"/>
            <w:tcMar>
              <w:top w:w="80" w:type="dxa"/>
              <w:left w:w="120" w:type="dxa"/>
              <w:bottom w:w="80" w:type="dxa"/>
              <w:right w:w="120" w:type="dxa"/>
            </w:tcMar>
            <w:vAlign w:val="center"/>
          </w:tcPr>
          <w:p w14:paraId="09034984" w14:textId="77777777" w:rsidR="00FC6EC1" w:rsidRDefault="00000000">
            <w:pPr>
              <w:pStyle w:val="TableText"/>
            </w:pPr>
            <w:r>
              <w:rPr>
                <w:rFonts w:eastAsia="Calibri"/>
              </w:rPr>
              <w:t>AI component</w:t>
            </w:r>
          </w:p>
        </w:tc>
        <w:tc>
          <w:tcPr>
            <w:tcW w:w="7200" w:type="dxa"/>
            <w:tcMar>
              <w:top w:w="80" w:type="dxa"/>
              <w:left w:w="120" w:type="dxa"/>
              <w:bottom w:w="80" w:type="dxa"/>
              <w:right w:w="120" w:type="dxa"/>
            </w:tcMar>
            <w:vAlign w:val="center"/>
          </w:tcPr>
          <w:p w14:paraId="5E280692" w14:textId="77777777" w:rsidR="00FC6EC1" w:rsidRDefault="00000000">
            <w:pPr>
              <w:pStyle w:val="TableText"/>
            </w:pPr>
            <w:r>
              <w:rPr>
                <w:rFonts w:eastAsia="Calibri"/>
              </w:rPr>
              <w:t>Structured evidence synthesis and NIST AI RMF-based governance analysis.</w:t>
            </w:r>
          </w:p>
        </w:tc>
      </w:tr>
    </w:tbl>
    <w:p w14:paraId="162E0447" w14:textId="77777777" w:rsidR="00FC6EC1" w:rsidRDefault="00000000">
      <w:pPr>
        <w:pStyle w:val="Heading1"/>
      </w:pPr>
      <w:r>
        <w:lastRenderedPageBreak/>
        <w:t>1. Background and problem</w:t>
      </w:r>
    </w:p>
    <w:p w14:paraId="7E66DE5F" w14:textId="77777777" w:rsidR="00FC6EC1" w:rsidRDefault="00000000">
      <w:r>
        <w:t>A sufficiently capable fault-tolerant quantum computer would threaten widely deployed public-key mechanisms based on integer factorisation and discrete logarithms (Shor, 1994). Although the arrival date of such hardware is uncertain, cryptographic transitions are slow and some encrypted data has long-term value. Migration planning therefore needs to account for data-retention periods, implementation lead time and uncertainty about the threat horizon (Mosca, 2018).</w:t>
      </w:r>
    </w:p>
    <w:p w14:paraId="4B6DE6C3" w14:textId="77777777" w:rsidR="00FC6EC1" w:rsidRDefault="00000000">
      <w:r>
        <w:t>NIST standardised ML-KEM for key establishment in 2024 (NIST, 2024a). In TLS 1.3 (Rescorla, 2018), a hybrid group such as X25519MLKEM768 combines classical X25519 with ML-KEM-768 to reduce dependence on either mechanism during transition. National guidance takes a comparable view while cautioning that hybrid schemes carry real implementation and maintenance cost and are best treated as an interim measure rather than an end state (NCSC, 2024), and integration studies argue that protocol-level integration rather than algorithm selection is where most migration difficulty lies (ENISA, 2022). This may improve transition assurance, but larger key-exchange messages can increase handshake size and interact with network delay, loss and fragmentation (IETF, 2026a; 2026b). Published results vary with the implementation, processor, network profile, certificate chain and measurement boundary (Paquin, Stebila and Tamvada, 2020; Schwabe, Stebila and Wiggers, 2020; Sikeridis, Kampanakis and Devetsikiotis, 2020).</w:t>
      </w:r>
    </w:p>
    <w:p w14:paraId="523A913E" w14:textId="77777777" w:rsidR="00FC6EC1" w:rsidRDefault="00000000">
      <w:r>
        <w:t>The closest direct precedent, Paquin, Stebila and Tamvada (2020), emulated latency and packet loss around pre-standard Kyber variants in a modified research toolchain and showed that larger key-exchange messages interact measurably with degraded networks. The practical gap is therefore not whether post-quantum TLS can run, but how to produce a transparent, decision-relevant comparison for the standardised ML-KEM groups in a defined environment, using native OpenSSL 3.5.x support and batch-aware inference rather than the point estimates typical of earlier work. Because organisations may also use AI to discover dependencies or modify code before evidence about reliability is mature, the project adds a bounded AI governance assessment rather than a model comparison.</w:t>
      </w:r>
    </w:p>
    <w:p w14:paraId="2BE2DF87" w14:textId="77777777" w:rsidR="00FC6EC1" w:rsidRDefault="00000000">
      <w:pPr>
        <w:pStyle w:val="Heading1"/>
      </w:pPr>
      <w:r>
        <w:t>2. Aim, objectives and research questions</w:t>
      </w:r>
    </w:p>
    <w:p w14:paraId="39A5F604" w14:textId="77777777" w:rsidR="00FC6EC1" w:rsidRDefault="00000000">
      <w:pPr>
        <w:jc w:val="left"/>
      </w:pPr>
      <w:r>
        <w:rPr>
          <w:rFonts w:eastAsia="Calibri"/>
          <w:b/>
          <w:color w:val="1F4D78"/>
        </w:rPr>
        <w:t xml:space="preserve">Aim. </w:t>
      </w:r>
      <w:r>
        <w:rPr>
          <w:rFonts w:eastAsia="Calibri"/>
        </w:rPr>
        <w:t>To design and empirically evaluate a reproducible hybrid post-quantum TLS 1.3 test system and determine the operational trade-offs relevant to migration from classical key establishment.</w:t>
      </w:r>
    </w:p>
    <w:p w14:paraId="2EDBC53B" w14:textId="77777777" w:rsidR="00FC6EC1" w:rsidRDefault="00000000">
      <w:pPr>
        <w:jc w:val="left"/>
      </w:pPr>
      <w:r>
        <w:t>The project objectives are to:</w:t>
      </w:r>
    </w:p>
    <w:p w14:paraId="402A30BD" w14:textId="77777777" w:rsidR="00FC6EC1" w:rsidRDefault="00000000">
      <w:pPr>
        <w:keepLines/>
        <w:numPr>
          <w:ilvl w:val="0"/>
          <w:numId w:val="1"/>
        </w:numPr>
        <w:jc w:val="left"/>
      </w:pPr>
      <w:r>
        <w:rPr>
          <w:rFonts w:eastAsia="Calibri"/>
        </w:rPr>
        <w:t>Build a pinned, containerised client-server benchmark environment using OpenSSL 3.5.x native TLS group support.</w:t>
      </w:r>
    </w:p>
    <w:p w14:paraId="2D9CA75D" w14:textId="77777777" w:rsidR="00FC6EC1" w:rsidRDefault="00000000">
      <w:pPr>
        <w:keepLines/>
        <w:numPr>
          <w:ilvl w:val="0"/>
          <w:numId w:val="1"/>
        </w:numPr>
        <w:jc w:val="left"/>
      </w:pPr>
      <w:r>
        <w:rPr>
          <w:rFonts w:eastAsia="Calibri"/>
        </w:rPr>
        <w:lastRenderedPageBreak/>
        <w:t>Compare X25519, MLKEM768 and X25519MLKEM768 under repeatable latency and packet-loss profiles.</w:t>
      </w:r>
    </w:p>
    <w:p w14:paraId="6DCD796B" w14:textId="77777777" w:rsidR="00FC6EC1" w:rsidRDefault="00000000">
      <w:pPr>
        <w:keepLines/>
        <w:numPr>
          <w:ilvl w:val="0"/>
          <w:numId w:val="1"/>
        </w:numPr>
        <w:jc w:val="left"/>
      </w:pPr>
      <w:r>
        <w:rPr>
          <w:rFonts w:eastAsia="Calibri"/>
        </w:rPr>
        <w:t>Measure TLS-handshake latency, reliability and TLS-library byte counters using machine-readable logging, then analyse pilot and definitive data with batch-aware summaries, uncertainty intervals and thresholds that are frozen before definitive collection.</w:t>
      </w:r>
    </w:p>
    <w:p w14:paraId="7EB7E784" w14:textId="77777777" w:rsidR="00FC6EC1" w:rsidRDefault="00000000">
      <w:pPr>
        <w:keepLines/>
        <w:numPr>
          <w:ilvl w:val="0"/>
          <w:numId w:val="1"/>
        </w:numPr>
        <w:jc w:val="left"/>
      </w:pPr>
      <w:r>
        <w:rPr>
          <w:rFonts w:eastAsia="Calibri"/>
        </w:rPr>
        <w:t>Assess AI-assisted cryptographic discovery, transformation, testing and assurance through a structured evidence review, then translate the findings into reproducible migration and governance guidance.</w:t>
      </w:r>
    </w:p>
    <w:p w14:paraId="7039B780" w14:textId="77777777" w:rsidR="00FC6EC1" w:rsidRDefault="00000000">
      <w:pPr>
        <w:pStyle w:val="Heading2"/>
      </w:pPr>
      <w:r>
        <w:t>2.1 Primary research question</w:t>
      </w:r>
    </w:p>
    <w:p w14:paraId="71418FC6" w14:textId="77777777" w:rsidR="00FC6EC1" w:rsidRDefault="00000000">
      <w:pPr>
        <w:pBdr>
          <w:left w:val="single" w:sz="18" w:space="8" w:color="2E74B5"/>
        </w:pBdr>
        <w:shd w:val="clear" w:color="auto" w:fill="F4F6F9"/>
        <w:spacing w:before="120" w:after="200" w:line="276" w:lineRule="auto"/>
        <w:ind w:left="216" w:right="216"/>
        <w:jc w:val="left"/>
      </w:pPr>
      <w:r>
        <w:rPr>
          <w:rFonts w:eastAsia="Calibri"/>
          <w:b/>
          <w:color w:val="1F4D78"/>
        </w:rPr>
        <w:t xml:space="preserve">RQ1. </w:t>
      </w:r>
      <w:r>
        <w:rPr>
          <w:rFonts w:eastAsia="Calibri"/>
        </w:rPr>
        <w:t>Under representative latency and packet-loss conditions, what performance and reliability overhead does X25519MLKEM768 impose on TLS 1.3 compared with X25519 and MLKEM768, and does that overhead remain within predefined operational acceptance thresholds?</w:t>
      </w:r>
    </w:p>
    <w:p w14:paraId="7B359CE2" w14:textId="77777777" w:rsidR="00FC6EC1" w:rsidRDefault="00000000">
      <w:pPr>
        <w:pStyle w:val="Heading2"/>
      </w:pPr>
      <w:r>
        <w:t>2.2 Secondary research questions</w:t>
      </w:r>
    </w:p>
    <w:p w14:paraId="52D070FA" w14:textId="77777777" w:rsidR="00FC6EC1" w:rsidRDefault="00000000">
      <w:pPr>
        <w:keepLines/>
        <w:numPr>
          <w:ilvl w:val="0"/>
          <w:numId w:val="1"/>
        </w:numPr>
        <w:jc w:val="left"/>
      </w:pPr>
      <w:r>
        <w:rPr>
          <w:rFonts w:eastAsia="Calibri"/>
        </w:rPr>
        <w:t>RQ2: Across the implemented benchmark, what evidence is available for the contribution of combined key-establishment computation, TLS-library byte counters and interaction with network delay and loss to observed overhead?</w:t>
      </w:r>
    </w:p>
    <w:p w14:paraId="218B0FCC" w14:textId="77777777" w:rsidR="00FC6EC1" w:rsidRDefault="00000000">
      <w:pPr>
        <w:keepLines/>
        <w:numPr>
          <w:ilvl w:val="0"/>
          <w:numId w:val="1"/>
        </w:numPr>
        <w:jc w:val="left"/>
      </w:pPr>
      <w:r>
        <w:rPr>
          <w:rFonts w:eastAsia="Calibri"/>
        </w:rPr>
        <w:t>RQ3: How do the three configurations differ in handshake reliability as network conditions deteriorate, and what does a separate fixed-concurrency throughput workload show where the netns backend is available?</w:t>
      </w:r>
    </w:p>
    <w:p w14:paraId="6EE9CAF1" w14:textId="77777777" w:rsidR="00FC6EC1" w:rsidRDefault="00000000">
      <w:pPr>
        <w:keepLines/>
        <w:numPr>
          <w:ilvl w:val="0"/>
          <w:numId w:val="1"/>
        </w:numPr>
        <w:jc w:val="left"/>
      </w:pPr>
      <w:r>
        <w:rPr>
          <w:rFonts w:eastAsia="Calibri"/>
        </w:rPr>
        <w:t>RQ4: What practical migration controls follow from the empirical results and current NIST/IETF guidance?</w:t>
      </w:r>
    </w:p>
    <w:p w14:paraId="1A1B647B" w14:textId="77777777" w:rsidR="00FC6EC1" w:rsidRDefault="00000000">
      <w:pPr>
        <w:keepLines/>
        <w:numPr>
          <w:ilvl w:val="0"/>
          <w:numId w:val="1"/>
        </w:numPr>
        <w:jc w:val="left"/>
      </w:pPr>
      <w:r>
        <w:rPr>
          <w:rFonts w:eastAsia="Calibri"/>
        </w:rPr>
        <w:t>RQ5: What benefits, failure modes and governance controls are supported by current evidence when AI assists cryptographic discovery, code transformation, testing or assurance during post-quantum migration?</w:t>
      </w:r>
    </w:p>
    <w:p w14:paraId="27EA8FF0" w14:textId="77777777" w:rsidR="00FC6EC1" w:rsidRDefault="00000000">
      <w:pPr>
        <w:pStyle w:val="Heading2"/>
      </w:pPr>
      <w:r>
        <w:t>2.3 Working hypotheses</w:t>
      </w:r>
    </w:p>
    <w:p w14:paraId="6CA0A813" w14:textId="77777777" w:rsidR="00FC6EC1" w:rsidRDefault="00000000">
      <w:pPr>
        <w:keepLines/>
        <w:numPr>
          <w:ilvl w:val="0"/>
          <w:numId w:val="1"/>
        </w:numPr>
        <w:jc w:val="left"/>
      </w:pPr>
      <w:r>
        <w:rPr>
          <w:rFonts w:eastAsia="Calibri"/>
        </w:rPr>
        <w:t>H1 (exploratory): At 0 ms configured delay and zero loss, X25519MLKEM768 is expected to show a positive latency contrast relative to X25519. The benchmark will report that contrast in milliseconds; without granular microbenchmarks and transport capture, it will not attribute it solely to ML-KEM computation or additional bytes.</w:t>
      </w:r>
    </w:p>
    <w:p w14:paraId="6A5CE273" w14:textId="77777777" w:rsidR="00FC6EC1" w:rsidRDefault="00000000">
      <w:pPr>
        <w:keepLines/>
        <w:numPr>
          <w:ilvl w:val="0"/>
          <w:numId w:val="1"/>
        </w:numPr>
        <w:jc w:val="left"/>
      </w:pPr>
      <w:r>
        <w:rPr>
          <w:rFonts w:eastAsia="Calibri"/>
        </w:rPr>
        <w:t>H2: X25519MLKEM768 records materially more TLS-library bytes than X25519 in both directions. These counters measure bytes passed through the TLS socket BIOs, not Ethernet, IP or TCP wire bytes; a packet-capture audit remains an optional extension.</w:t>
      </w:r>
    </w:p>
    <w:p w14:paraId="0868583B" w14:textId="77777777" w:rsidR="00FC6EC1" w:rsidRDefault="00000000">
      <w:pPr>
        <w:keepLines/>
        <w:numPr>
          <w:ilvl w:val="0"/>
          <w:numId w:val="1"/>
        </w:numPr>
        <w:jc w:val="left"/>
      </w:pPr>
      <w:r>
        <w:rPr>
          <w:rFonts w:eastAsia="Calibri"/>
        </w:rPr>
        <w:t>H3 (exploratory): The hybrid-minus-classical latency and reliability contrasts may change as configured delay and loss increase. The matrix can describe this pattern, but it cannot by itself establish a transport mechanism such as congestion-window or fragmentation effects; these require the optional transport-capture audit.</w:t>
      </w:r>
    </w:p>
    <w:p w14:paraId="260D8BFA" w14:textId="77777777" w:rsidR="00FC6EC1" w:rsidRDefault="00000000">
      <w:pPr>
        <w:keepLines/>
        <w:numPr>
          <w:ilvl w:val="0"/>
          <w:numId w:val="1"/>
        </w:numPr>
        <w:jc w:val="left"/>
      </w:pPr>
      <w:r>
        <w:rPr>
          <w:rFonts w:eastAsia="Calibri"/>
        </w:rPr>
        <w:t>H4: Operational feasibility will be assessed only after an acceptance scenario, threshold, sample-size rationale and analysis procedure have been implemented and frozen. Until then, the project will report pilot and definitive effect estimates with validation status and uncertainty, rather than a pass/fail claim.</w:t>
      </w:r>
    </w:p>
    <w:p w14:paraId="70BFC6AA" w14:textId="77777777" w:rsidR="00FC6EC1" w:rsidRDefault="00000000">
      <w:pPr>
        <w:pStyle w:val="Heading1"/>
      </w:pPr>
      <w:r>
        <w:lastRenderedPageBreak/>
        <w:t>3. Proposed artefact and contribution</w:t>
      </w:r>
    </w:p>
    <w:p w14:paraId="08356797" w14:textId="77777777" w:rsidR="00FC6EC1" w:rsidRDefault="00000000">
      <w:r>
        <w:t>The artefact is a containerised TLS 1.3 benchmarking harness comprising client and server implementations, machine-readable configuration profiles, orchestration scripts, bidirectional network emulation, JSONL measurement logs, validation checks, a documented data schema and Python analysis and dashboard scripts. OpenSSL 3.5.7 is pinned in the supplied container image because it exposes native support for the planned groups; an alternative standards-conformant provider remains a contingency rather than a parallel scope.</w:t>
      </w:r>
    </w:p>
    <w:p w14:paraId="03D3BAB1" w14:textId="77777777" w:rsidR="00FC6EC1" w:rsidRDefault="00000000">
      <w:r>
        <w:t>The intended contribution is methodological and empirical, not the invention or proof of a new cryptographic primitive. The project will compare full TLS-handshake performance across groups, retain provenance and failed observations, report directional TLS-library byte counters, and use a separate combined-operation microbenchmark as explanatory context. It will not claim a complete causal separation of cryptographic, protocol and network costs unless the optional packet-capture and additional instrumentation extensions are completed. A complementary AI-PQC matrix will link proposed AI uses to evidence strength, failure modes, human ownership and verification controls.</w:t>
      </w:r>
    </w:p>
    <w:p w14:paraId="6CADB991" w14:textId="77777777" w:rsidR="00FC6EC1" w:rsidRDefault="00000000">
      <w:r>
        <w:t>Artefact evaluation. Because the study is framed as design science, the harness will be evaluated as an artefact in its own right and not merely as instrumentation, following the design-evaluation guidance of Hevner et al. (2004) and the process model of Peffers et al. (2007). Four criteria will be stated before the build and reported irrespective of outcome: functional correctness, established through automated tests and by verifying that the negotiated group matches the configured group on every recorded handshake; reproducibility, established by rebuilding the pinned image and regenerating reported summaries from raw JSONL using the documented commands; extensibility, assessed as the number of files requiring change to add a TLS group or network profile; and instrumentation fidelity, assessed through internal consistency checks on timing, group negotiation and directional TLS-library byte counters. Packet-capture comparison is an optional, separately documented audit rather than a prerequisite of the container workflow.</w:t>
      </w:r>
    </w:p>
    <w:p w14:paraId="5FB4E264" w14:textId="77777777" w:rsidR="00FC6EC1" w:rsidRDefault="00000000">
      <w:pPr>
        <w:pBdr>
          <w:left w:val="single" w:sz="18" w:space="8" w:color="2E74B5"/>
        </w:pBdr>
        <w:shd w:val="clear" w:color="auto" w:fill="F4F6F9"/>
        <w:spacing w:before="120" w:after="200" w:line="276" w:lineRule="auto"/>
        <w:ind w:left="216" w:right="216"/>
        <w:jc w:val="left"/>
      </w:pPr>
      <w:r>
        <w:rPr>
          <w:rFonts w:eastAsia="Calibri"/>
          <w:b/>
          <w:color w:val="1F4D78"/>
        </w:rPr>
        <w:t xml:space="preserve">Scope boundary: </w:t>
      </w:r>
      <w:r>
        <w:rPr>
          <w:rFonts w:eastAsia="Calibri"/>
        </w:rPr>
        <w:t>The study will not attempt cryptanalysis, predict the date of a cryptographically relevant quantum computer, test external production systems, or claim that the laboratory prototype is production-ready.</w:t>
      </w:r>
    </w:p>
    <w:p w14:paraId="395DF3C4" w14:textId="77777777" w:rsidR="00FC6EC1" w:rsidRDefault="00000000">
      <w:pPr>
        <w:pStyle w:val="Heading1"/>
      </w:pPr>
      <w:r>
        <w:t>4. Experimental protocol</w:t>
      </w:r>
    </w:p>
    <w:p w14:paraId="645D6D15" w14:textId="77777777" w:rsidR="00FC6EC1" w:rsidRDefault="00000000">
      <w:pPr>
        <w:pStyle w:val="Heading2"/>
      </w:pPr>
      <w:r>
        <w:t>4.1 Research design and experimental unit</w:t>
      </w:r>
    </w:p>
    <w:p w14:paraId="6F2EB863" w14:textId="77777777" w:rsidR="00FC6EC1" w:rsidRDefault="00000000">
      <w:r>
        <w:t>The project will use design-science research (Hevner et al., 2004; Peffers et al., 2007) combined with a controlled quantitative experiment. A blocked, within-environment repeated design will reduce confounding from hardware variation. Each temporally separated batch will contain every configuration-by-network-condition cell in a seeded random order. The batch, rather than each individual handshake, will be the confirmatory experimental unit; handshakes within a cell are nested subsamples.</w:t>
      </w:r>
    </w:p>
    <w:p w14:paraId="6E648E2C" w14:textId="77777777" w:rsidR="00FC6EC1" w:rsidRDefault="00000000">
      <w:r>
        <w:t>The implemented design is a controlled, blocked, within-environment repeated experiment. Each batch contains every configuration-by-network-condition cell in a seeded random order; the batch is the intended confirmatory unit and handshakes within a cell are nested subsamples. The configured matrix crosses 0, 20, 50 and 100 ms round-trip delay with 0%, 0.5% and 1% loss in each direction. The runner applies half the nominal RTT on each container endpoint's egress interface and records the resulting tc qdisc state for every cell. At 0 ms and 0% loss it retains an explicit zero-delay netem qdisc; the document will not treat this condition as an unshaped network baseline. Independent ping calibration is available for the separate netns backend, but is not currently an automated verification step for the container backend. The container lab constrains each endpoint to 1 CPU, 1 GiB memory and 256 processes, but does not pin endpoints to separate physical cores or collect separate endpoint CPU-time and memory outcomes. The environment manifest records platform, Python, OpenSSL and binary-hash evidence; the final report will state any remaining host configuration and background-load limitations. The principal workload uses fresh TCP connections and full TLS 1.3 handshakes with session resumption disabled. Post-quantum certificate authentication, resumption, additional hardware platforms and constrained devices remain outside the minimum viable scope; a fixed classical certificate chain is held constant.</w:t>
      </w:r>
    </w:p>
    <w:p w14:paraId="22AF1084" w14:textId="77777777" w:rsidR="00FC6EC1" w:rsidRDefault="00000000">
      <w:r>
        <w:t>Sample-size determination. The implemented schedule contains 10 batches, 36 cells per batch, 20 unrecorded warm-ups and 100 recorded handshakes per cell (36,000 recorded handshakes if completed). Pilot runs are used to validate execution, timeouts and instrumentation, not as confirmatory evidence. Before definitive collection, the final batch count and a precision rationale will be frozen in the protocol and configuration snapshot. The current software supports batch-level paired contrasts and bootstrap intervals, rather than the linear mixed-effects power calculation proposed in Version 5.</w:t>
      </w:r>
    </w:p>
    <w:p w14:paraId="31196C66" w14:textId="77777777" w:rsidR="00FC6EC1" w:rsidRDefault="00000000">
      <w:r>
        <w:t>Reliability endpoint precision. The current 10-batch configuration provides 1,000 attempted handshakes per group-condition when complete and retains all failed observations. It is suitable for descriptive, batch-aware reliability reporting but is not sufficient to substantiate a narrow 0.5-percentage-point non-inferiority margin. A high-volume reliability study may be added only after the minimum viable experiment, its sample-size rationale and its analysis procedure have been implemented and frozen.</w:t>
      </w:r>
    </w:p>
    <w:p w14:paraId="376053BB" w14:textId="77777777" w:rsidR="00FC6EC1" w:rsidRDefault="00000000">
      <w:pPr>
        <w:pStyle w:val="Heading2"/>
      </w:pPr>
      <w:r>
        <w:t>4.2 Measures and primary endpoint</w:t>
      </w:r>
    </w:p>
    <w:p w14:paraId="0578FC23" w14:textId="77777777" w:rsidR="00FC6EC1" w:rsidRDefault="00000000">
      <w:r>
        <w:t>For each completed cell, the implemented analysis reports attempts, successes, failures, failure rate, median, mean, standard deviation, first and third quartiles, and median TLS-library bytes read and written. It checks for incomplete scheduled cells, malformed or incomplete raw records, group mismatch, and an all-zero outbound-byte anomaly. Batch-aware contrasts use the within-batch difference in cell medians. Distributional diagnostics, upper-tail percentiles, model-based residual checks and BCa intervals are optional extensions, not outputs of the current summarisation software.</w:t>
      </w:r>
    </w:p>
    <w:tbl>
      <w:tblPr>
        <w:tblStyle w:val="TableGrid"/>
        <w:tblW w:w="9360" w:type="dxa"/>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ayout w:type="fixed"/>
        <w:tblLook w:val="04A0" w:firstRow="1" w:lastRow="0" w:firstColumn="1" w:lastColumn="0" w:noHBand="0" w:noVBand="1"/>
      </w:tblPr>
      <w:tblGrid>
        <w:gridCol w:w="2160"/>
        <w:gridCol w:w="7200"/>
      </w:tblGrid>
      <w:tr w:rsidR="00FC6EC1" w14:paraId="07B290AE" w14:textId="77777777">
        <w:trPr>
          <w:cantSplit/>
          <w:tblHeader/>
        </w:trPr>
        <w:tc>
          <w:tcPr>
            <w:tcW w:w="2160" w:type="dxa"/>
            <w:shd w:val="clear" w:color="auto" w:fill="F4F6F9"/>
            <w:tcMar>
              <w:top w:w="80" w:type="dxa"/>
              <w:left w:w="120" w:type="dxa"/>
              <w:bottom w:w="80" w:type="dxa"/>
              <w:right w:w="120" w:type="dxa"/>
            </w:tcMar>
            <w:vAlign w:val="center"/>
          </w:tcPr>
          <w:p w14:paraId="0D6D7DF8" w14:textId="77777777" w:rsidR="00FC6EC1" w:rsidRDefault="00000000">
            <w:pPr>
              <w:pStyle w:val="TableText"/>
            </w:pPr>
            <w:r>
              <w:rPr>
                <w:rFonts w:eastAsia="Calibri"/>
                <w:b/>
                <w:color w:val="1F4D78"/>
              </w:rPr>
              <w:t>Measure</w:t>
            </w:r>
          </w:p>
        </w:tc>
        <w:tc>
          <w:tcPr>
            <w:tcW w:w="7200" w:type="dxa"/>
            <w:shd w:val="clear" w:color="auto" w:fill="F4F6F9"/>
            <w:tcMar>
              <w:top w:w="80" w:type="dxa"/>
              <w:left w:w="120" w:type="dxa"/>
              <w:bottom w:w="80" w:type="dxa"/>
              <w:right w:w="120" w:type="dxa"/>
            </w:tcMar>
            <w:vAlign w:val="center"/>
          </w:tcPr>
          <w:p w14:paraId="3C864FDC" w14:textId="77777777" w:rsidR="00FC6EC1" w:rsidRDefault="00000000">
            <w:pPr>
              <w:pStyle w:val="TableText"/>
            </w:pPr>
            <w:r>
              <w:rPr>
                <w:rFonts w:eastAsia="Calibri"/>
                <w:b/>
                <w:color w:val="1F4D78"/>
              </w:rPr>
              <w:t>Working operational definition</w:t>
            </w:r>
          </w:p>
        </w:tc>
      </w:tr>
      <w:tr w:rsidR="00FC6EC1" w14:paraId="1180FBA7" w14:textId="77777777">
        <w:trPr>
          <w:cantSplit/>
        </w:trPr>
        <w:tc>
          <w:tcPr>
            <w:tcW w:w="2160" w:type="dxa"/>
            <w:tcMar>
              <w:top w:w="80" w:type="dxa"/>
              <w:left w:w="120" w:type="dxa"/>
              <w:bottom w:w="80" w:type="dxa"/>
              <w:right w:w="120" w:type="dxa"/>
            </w:tcMar>
            <w:vAlign w:val="center"/>
          </w:tcPr>
          <w:p w14:paraId="686509F2" w14:textId="77777777" w:rsidR="00FC6EC1" w:rsidRDefault="00000000">
            <w:pPr>
              <w:pStyle w:val="TableText"/>
            </w:pPr>
            <w:r>
              <w:rPr>
                <w:rFonts w:eastAsia="Calibri"/>
              </w:rPr>
              <w:lastRenderedPageBreak/>
              <w:t>Primary endpoint</w:t>
            </w:r>
          </w:p>
        </w:tc>
        <w:tc>
          <w:tcPr>
            <w:tcW w:w="7200" w:type="dxa"/>
            <w:tcMar>
              <w:top w:w="80" w:type="dxa"/>
              <w:left w:w="120" w:type="dxa"/>
              <w:bottom w:w="80" w:type="dxa"/>
              <w:right w:w="120" w:type="dxa"/>
            </w:tcMar>
            <w:vAlign w:val="center"/>
          </w:tcPr>
          <w:p w14:paraId="073B8599" w14:textId="77777777" w:rsidR="00FC6EC1" w:rsidRDefault="00000000">
            <w:pPr>
              <w:pStyle w:val="TableText"/>
            </w:pPr>
            <w:r>
              <w:rPr>
                <w:rFonts w:eastAsia="Calibri"/>
              </w:rPr>
              <w:t>Within-batch hybrid-minus-X25519 difference in median full TLS-handshake latency (milliseconds) for conditions completed by both groups. The current software reports all eligible conditions; the definitive primary condition will be frozen before collection. Batch-level percentile bootstrap intervals and paired sign-randomisation tests support pilot and later frozen analysis. Upper-tail percentiles are not currently generated.</w:t>
            </w:r>
          </w:p>
        </w:tc>
      </w:tr>
      <w:tr w:rsidR="00FC6EC1" w14:paraId="4752C7D9" w14:textId="77777777">
        <w:trPr>
          <w:cantSplit/>
        </w:trPr>
        <w:tc>
          <w:tcPr>
            <w:tcW w:w="2160" w:type="dxa"/>
            <w:tcMar>
              <w:top w:w="80" w:type="dxa"/>
              <w:left w:w="120" w:type="dxa"/>
              <w:bottom w:w="80" w:type="dxa"/>
              <w:right w:w="120" w:type="dxa"/>
            </w:tcMar>
            <w:vAlign w:val="center"/>
          </w:tcPr>
          <w:p w14:paraId="1C42EA92" w14:textId="77777777" w:rsidR="00FC6EC1" w:rsidRDefault="00000000">
            <w:pPr>
              <w:pStyle w:val="TableText"/>
            </w:pPr>
            <w:r>
              <w:rPr>
                <w:rFonts w:eastAsia="Calibri"/>
              </w:rPr>
              <w:t>Reliability</w:t>
            </w:r>
          </w:p>
        </w:tc>
        <w:tc>
          <w:tcPr>
            <w:tcW w:w="7200" w:type="dxa"/>
            <w:tcMar>
              <w:top w:w="80" w:type="dxa"/>
              <w:left w:w="120" w:type="dxa"/>
              <w:bottom w:w="80" w:type="dxa"/>
              <w:right w:w="120" w:type="dxa"/>
            </w:tcMar>
            <w:vAlign w:val="center"/>
          </w:tcPr>
          <w:p w14:paraId="4E2D9FA8" w14:textId="77777777" w:rsidR="00FC6EC1" w:rsidRDefault="00000000">
            <w:pPr>
              <w:pStyle w:val="TableText"/>
            </w:pPr>
            <w:r>
              <w:rPr>
                <w:rFonts w:eastAsia="Calibri"/>
              </w:rPr>
              <w:t>Failed or timed-out handshakes divided by attempted handshakes; all failures remain in the denominator. The current timeout is 10 s. A definitive failure-rate margin and any high-volume reliability design require a separate frozen plan.</w:t>
            </w:r>
          </w:p>
        </w:tc>
      </w:tr>
      <w:tr w:rsidR="00FC6EC1" w14:paraId="6641EF7B" w14:textId="77777777">
        <w:trPr>
          <w:cantSplit/>
        </w:trPr>
        <w:tc>
          <w:tcPr>
            <w:tcW w:w="2160" w:type="dxa"/>
            <w:tcMar>
              <w:top w:w="80" w:type="dxa"/>
              <w:left w:w="120" w:type="dxa"/>
              <w:bottom w:w="80" w:type="dxa"/>
              <w:right w:w="120" w:type="dxa"/>
            </w:tcMar>
            <w:vAlign w:val="center"/>
          </w:tcPr>
          <w:p w14:paraId="4DC9A52D" w14:textId="77777777" w:rsidR="00FC6EC1" w:rsidRDefault="00000000">
            <w:pPr>
              <w:pStyle w:val="TableText"/>
            </w:pPr>
            <w:r>
              <w:rPr>
                <w:rFonts w:eastAsia="Calibri"/>
              </w:rPr>
              <w:t>Throughput</w:t>
            </w:r>
          </w:p>
        </w:tc>
        <w:tc>
          <w:tcPr>
            <w:tcW w:w="7200" w:type="dxa"/>
            <w:tcMar>
              <w:top w:w="80" w:type="dxa"/>
              <w:left w:w="120" w:type="dxa"/>
              <w:bottom w:w="80" w:type="dxa"/>
              <w:right w:w="120" w:type="dxa"/>
            </w:tcMar>
            <w:vAlign w:val="center"/>
          </w:tcPr>
          <w:p w14:paraId="4BD284EA" w14:textId="77777777" w:rsidR="00FC6EC1" w:rsidRDefault="00000000">
            <w:pPr>
              <w:pStyle w:val="TableText"/>
            </w:pPr>
            <w:r>
              <w:rPr>
                <w:rFonts w:eastAsia="Calibri"/>
              </w:rPr>
              <w:t>A separate fixed-concurrency workload implemented for the netns backend. It is not part of the container primary latency workflow and is reported only when that backend is available.</w:t>
            </w:r>
          </w:p>
        </w:tc>
      </w:tr>
      <w:tr w:rsidR="00FC6EC1" w14:paraId="0098AADB" w14:textId="77777777">
        <w:trPr>
          <w:cantSplit/>
        </w:trPr>
        <w:tc>
          <w:tcPr>
            <w:tcW w:w="2160" w:type="dxa"/>
            <w:tcMar>
              <w:top w:w="80" w:type="dxa"/>
              <w:left w:w="120" w:type="dxa"/>
              <w:bottom w:w="80" w:type="dxa"/>
              <w:right w:w="120" w:type="dxa"/>
            </w:tcMar>
            <w:vAlign w:val="center"/>
          </w:tcPr>
          <w:p w14:paraId="0A8D1FCC" w14:textId="77777777" w:rsidR="00FC6EC1" w:rsidRDefault="00000000">
            <w:pPr>
              <w:pStyle w:val="TableText"/>
            </w:pPr>
            <w:r>
              <w:rPr>
                <w:rFonts w:eastAsia="Calibri"/>
              </w:rPr>
              <w:t>Explanatory measures</w:t>
            </w:r>
          </w:p>
        </w:tc>
        <w:tc>
          <w:tcPr>
            <w:tcW w:w="7200" w:type="dxa"/>
            <w:tcMar>
              <w:top w:w="80" w:type="dxa"/>
              <w:left w:w="120" w:type="dxa"/>
              <w:bottom w:w="80" w:type="dxa"/>
              <w:right w:w="120" w:type="dxa"/>
            </w:tcMar>
            <w:vAlign w:val="center"/>
          </w:tcPr>
          <w:p w14:paraId="63098DFA" w14:textId="77777777" w:rsidR="00FC6EC1" w:rsidRDefault="00000000">
            <w:pPr>
              <w:pStyle w:val="TableText"/>
            </w:pPr>
            <w:r>
              <w:rPr>
                <w:rFonts w:eastAsia="Calibri"/>
              </w:rPr>
              <w:t>Directional bytes passed through TLS socket BIOs; runner child-process CPU/context-switch evidence and sampled launcher-process-tree peak RSS. These are not wire-byte measurements or separate container endpoint CPU/memory measurements.</w:t>
            </w:r>
          </w:p>
        </w:tc>
      </w:tr>
      <w:tr w:rsidR="00FC6EC1" w14:paraId="1C0DC945" w14:textId="77777777">
        <w:trPr>
          <w:cantSplit/>
        </w:trPr>
        <w:tc>
          <w:tcPr>
            <w:tcW w:w="2160" w:type="dxa"/>
            <w:tcMar>
              <w:top w:w="80" w:type="dxa"/>
              <w:left w:w="120" w:type="dxa"/>
              <w:bottom w:w="80" w:type="dxa"/>
              <w:right w:w="120" w:type="dxa"/>
            </w:tcMar>
            <w:vAlign w:val="center"/>
          </w:tcPr>
          <w:p w14:paraId="7BDF50C6" w14:textId="77777777" w:rsidR="00FC6EC1" w:rsidRDefault="00000000">
            <w:pPr>
              <w:pStyle w:val="TableText"/>
            </w:pPr>
            <w:r>
              <w:rPr>
                <w:rFonts w:eastAsia="Calibri"/>
              </w:rPr>
              <w:t>Controls</w:t>
            </w:r>
          </w:p>
        </w:tc>
        <w:tc>
          <w:tcPr>
            <w:tcW w:w="7200" w:type="dxa"/>
            <w:tcMar>
              <w:top w:w="80" w:type="dxa"/>
              <w:left w:w="120" w:type="dxa"/>
              <w:bottom w:w="80" w:type="dxa"/>
              <w:right w:w="120" w:type="dxa"/>
            </w:tcMar>
            <w:vAlign w:val="center"/>
          </w:tcPr>
          <w:p w14:paraId="412AA521" w14:textId="77777777" w:rsidR="00FC6EC1" w:rsidRDefault="00000000">
            <w:pPr>
              <w:pStyle w:val="TableText"/>
            </w:pPr>
            <w:r>
              <w:rPr>
                <w:rFonts w:eastAsia="Calibri"/>
              </w:rPr>
              <w:t>Pinned OpenSSL 3.5.7 image, fixed certificate chain, fresh full handshakes, configured network profile and container resource limits held constant within the container workflow.</w:t>
            </w:r>
          </w:p>
        </w:tc>
      </w:tr>
    </w:tbl>
    <w:p w14:paraId="57EF0D38" w14:textId="77777777" w:rsidR="00FC6EC1" w:rsidRDefault="00000000">
      <w:pPr>
        <w:spacing w:before="120"/>
      </w:pPr>
      <w:r>
        <w:t>Handshake latency will be recorded with a client-side monotonic clock from immediately before the TLS handshake call that emits the ClientHello on an established TCP connection until the TLS library reports successful completion after processing the server Finished message. The negotiated group will be verified rather than inferred from configuration.</w:t>
      </w:r>
    </w:p>
    <w:p w14:paraId="08DAFD2E" w14:textId="77777777" w:rsidR="00FC6EC1" w:rsidRDefault="00000000">
      <w:pPr>
        <w:pStyle w:val="Heading2"/>
      </w:pPr>
      <w:r>
        <w:lastRenderedPageBreak/>
        <w:t>4.3 Data-collection procedure</w:t>
      </w:r>
    </w:p>
    <w:p w14:paraId="542F8D66" w14:textId="77777777" w:rsidR="00FC6EC1" w:rsidRDefault="00000000">
      <w:pPr>
        <w:keepLines/>
        <w:numPr>
          <w:ilvl w:val="0"/>
          <w:numId w:val="1"/>
        </w:numPr>
        <w:jc w:val="left"/>
      </w:pPr>
      <w:r>
        <w:rPr>
          <w:rFonts w:eastAsia="Calibri"/>
        </w:rPr>
        <w:t>Build the pinned container image and record the configuration snapshot, client-binary hash, Python and platform information, and OpenSSL version output. The supplied image is based on Ubuntu 24.04 and builds OpenSSL 3.5.7 from its release source. Analysis is implemented in Python using the standard library; the environment manifest and committed dependency instructions are the reproducibility record. Any different base image, package lock, or statistical environment will be stated only after it is actually used and frozen.</w:t>
      </w:r>
    </w:p>
    <w:p w14:paraId="3F506B08" w14:textId="77777777" w:rsidR="00FC6EC1" w:rsidRDefault="00000000">
      <w:pPr>
        <w:keepLines/>
        <w:numPr>
          <w:ilvl w:val="0"/>
          <w:numId w:val="1"/>
        </w:numPr>
        <w:jc w:val="left"/>
      </w:pPr>
      <w:r>
        <w:rPr>
          <w:rFonts w:eastAsia="Calibri"/>
        </w:rPr>
        <w:t>Run the repository's automated tests and confirm that every recorded successful handshake negotiated the requested TLS group (using case-insensitive canonical comparison where OpenSSL renders X25519 in lower case).</w:t>
      </w:r>
    </w:p>
    <w:p w14:paraId="0B26D7BE" w14:textId="77777777" w:rsidR="00FC6EC1" w:rsidRDefault="00000000">
      <w:pPr>
        <w:keepLines/>
        <w:numPr>
          <w:ilvl w:val="0"/>
          <w:numId w:val="1"/>
        </w:numPr>
        <w:jc w:val="left"/>
      </w:pPr>
      <w:r>
        <w:rPr>
          <w:rFonts w:eastAsia="Calibri"/>
        </w:rPr>
        <w:t>For every executed cell, retain the applied tc qdisc state. Where the netns backend is used, run and retain the separate ping-based network calibration before the relevant pilot or definitive profile; this is not yet an automated container-backend calibration.</w:t>
      </w:r>
    </w:p>
    <w:p w14:paraId="6C2F5296" w14:textId="77777777" w:rsidR="00FC6EC1" w:rsidRDefault="00000000">
      <w:pPr>
        <w:keepLines/>
        <w:numPr>
          <w:ilvl w:val="0"/>
          <w:numId w:val="1"/>
        </w:numPr>
        <w:jc w:val="left"/>
      </w:pPr>
      <w:r>
        <w:rPr>
          <w:rFonts w:eastAsia="Calibri"/>
        </w:rPr>
        <w:t>Run a pilot to validate group negotiation, freshness of the full-handshake workload, timeouts, directional TLS-library byte accounting and the completeness gate. Treat pilot data as non-confirmatory. Packet capture, TCP-flight segmentation analysis and packet-capture timestamp validation are optional extensions that require a supported capture backend and a separately documented procedure.</w:t>
      </w:r>
    </w:p>
    <w:p w14:paraId="6E803807" w14:textId="77777777" w:rsidR="00FC6EC1" w:rsidRDefault="00000000">
      <w:pPr>
        <w:keepLines/>
        <w:numPr>
          <w:ilvl w:val="0"/>
          <w:numId w:val="1"/>
        </w:numPr>
        <w:jc w:val="left"/>
      </w:pPr>
      <w:r>
        <w:rPr>
          <w:rFonts w:eastAsia="Calibri"/>
        </w:rPr>
        <w:t>Freeze the endpoint, experimental unit, randomisation schedule, warm-up policy, batch count and analysis plan before the definitive run.</w:t>
      </w:r>
    </w:p>
    <w:p w14:paraId="47F26831" w14:textId="77777777" w:rsidR="00FC6EC1" w:rsidRDefault="00000000">
      <w:pPr>
        <w:keepLines/>
        <w:numPr>
          <w:ilvl w:val="0"/>
          <w:numId w:val="1"/>
        </w:numPr>
        <w:jc w:val="left"/>
      </w:pPr>
      <w:r>
        <w:rPr>
          <w:rFonts w:eastAsia="Calibri"/>
        </w:rPr>
        <w:t>Execute each batch in its seeded order; separate warm-up observations from recorded observations; write per-cell raw JSONL, a frozen schedule, configuration snapshot, environment manifest, resource evidence and integrity hashes. Interrupted partial-cell output is retained separately and excluded from completed-cell analysis; resumption is permitted only when the frozen configuration and client-binary hashes match.</w:t>
      </w:r>
    </w:p>
    <w:p w14:paraId="3993FF2F" w14:textId="77777777" w:rsidR="00FC6EC1" w:rsidRDefault="00000000">
      <w:pPr>
        <w:keepLines/>
        <w:numPr>
          <w:ilvl w:val="0"/>
          <w:numId w:val="1"/>
        </w:numPr>
        <w:jc w:val="left"/>
      </w:pPr>
      <w:r>
        <w:rPr>
          <w:rFonts w:eastAsia="Calibri"/>
        </w:rPr>
        <w:t>Check completeness and impossible values without deleting inconvenient observations; regenerate every table and figure from retained data.</w:t>
      </w:r>
    </w:p>
    <w:p w14:paraId="7DB190AD" w14:textId="77777777" w:rsidR="00FC6EC1" w:rsidRDefault="00000000">
      <w:r>
        <w:t>Each configured cell uses 20 unrecorded warm-up handshakes followed by 100 recorded handshakes, with 10 batches in the present configuration. These settings support the current pilot and are not a definitive commitment until the protocol, analysis plan and sample-size rationale are frozen.</w:t>
      </w:r>
    </w:p>
    <w:p w14:paraId="20083E8D" w14:textId="77777777" w:rsidR="00FC6EC1" w:rsidRDefault="00000000">
      <w:pPr>
        <w:pStyle w:val="Heading2"/>
      </w:pPr>
      <w:r>
        <w:t>4.4 Overhead decomposition (RQ2)</w:t>
      </w:r>
    </w:p>
    <w:p w14:paraId="77546AE1" w14:textId="77777777" w:rsidR="00FC6EC1" w:rsidRDefault="00000000">
      <w:r>
        <w:t>RQ2 is explanatory and is bounded by the measurements the software currently produces. First, the supplied microbenchmark reports elapsed time for a combined ML-KEM-768 key-generation, encapsulation and decapsulation iteration and, separately, two X25519 key generations plus derivation; it does not yet isolate those operations individually. Second, the latency experiment reports fresh TLS-handshake latency and directional TLS-library bytes read and written. These byte counters are measured at the TLS socket BIO boundary and must not be described as bytes on the wire. Third, paired cell summaries across the configured RTT and loss matrix show how the observed hybrid-minus-classical latency contrast changes with emulated conditions. This evidence supports cautious explanatory interpretation, not formal attribution. Optional extensions include granular microbenchmarks, packet capture in the supported netns backend, and a transport-layer byte audit.</w:t>
      </w:r>
    </w:p>
    <w:p w14:paraId="7C953AC3" w14:textId="77777777" w:rsidR="00FC6EC1" w:rsidRDefault="00000000">
      <w:r>
        <w:t>Implementation tools. The current microbenchmark is compiled against the pinned OpenSSL build; the experiment runner applies and records tc netem state, and the Python summariser produces batch-cell summaries, pairwise contrasts, validation output and confirmatory contrast reports. Packet capture is available as a separate netns-oriented utility and is not part of the normal container collection path. Linux perf, TLS key-log files, per-message capture timing, marginal-R² attribution and component-specific bootstrap intervals are deferred extensions and will not be represented as completed measurements.</w:t>
      </w:r>
    </w:p>
    <w:p w14:paraId="03FC42CE" w14:textId="77777777" w:rsidR="00FC6EC1" w:rsidRDefault="00000000">
      <w:r>
        <w:t>Constant-time assessment. No constant-time leakage test is implemented in the present benchmark. The project therefore makes no constant-time claim beyond relying on the selected OpenSSL implementation. A dudect-style or equivalent assessment may be proposed as a clearly separated extension, with appropriate inputs, measurement controls and review, but is outside the minimum viable experiment.</w:t>
      </w:r>
    </w:p>
    <w:p w14:paraId="7F9B84F7" w14:textId="77777777" w:rsidR="00FC6EC1" w:rsidRDefault="00000000">
      <w:pPr>
        <w:pStyle w:val="Heading2"/>
      </w:pPr>
      <w:r>
        <w:t>4.5 Analysis plan</w:t>
      </w:r>
    </w:p>
    <w:p w14:paraId="0C48F769" w14:textId="77777777" w:rsidR="00FC6EC1" w:rsidRDefault="00000000">
      <w:r>
        <w:t>Pre-processing and integrity. The summariser reads raw JSONL only from the completed-cell directory, requires the specified schema fields, retains failures, checks that every scheduled cell completed, verifies successful negotiated groups, and reports any issue in validation.json. Partial or interrupted runs are preserved but are not treated as valid experiment results. The output dashboard is a presentation layer over these generated files and does not replace the validation gate.</w:t>
      </w:r>
    </w:p>
    <w:p w14:paraId="66483E66" w14:textId="77777777" w:rsidR="00FC6EC1" w:rsidRDefault="00000000">
      <w:r>
        <w:t>Cell-level summaries. Each completed configuration-by-network-condition cell is summarised by batch with attempts, successes, failures, failure rate, median and mean handshake latency, standard deviation, first and third quartiles, and median TLS-library bytes read and written. The dashboard can filter and present the resulting summaries, but all numerical claims must remain traceable to the CSV and JSON analysis outputs.</w:t>
      </w:r>
    </w:p>
    <w:p w14:paraId="7C8EC54A" w14:textId="77777777" w:rsidR="00FC6EC1" w:rsidRDefault="00000000">
      <w:r>
        <w:t>Batch-aware analysis. For every condition where both groups complete within a batch, the software calculates the hybrid-minus-X25519 difference in median handshake latency and the difference in failure rate. Pairwise comparisons are also calculated for the available groups. A definitive primary condition and decision rule must be specified in the frozen pre-analysis plan before the full run; pilot contrasts remain descriptive.</w:t>
      </w:r>
    </w:p>
    <w:p w14:paraId="0C3399DA" w14:textId="77777777" w:rsidR="00FC6EC1" w:rsidRDefault="00000000">
      <w:r>
        <w:t>Uncertainty and comparisons. The current confirmatory report uses a batch-level percentile bootstrap interval for the mean paired contrast (5,000 resamples by default), a two-sided paired sign-randomisation test, and Holm adjustment across reported pairwise contrasts. It also reports lag-1 autocorrelation diagnostics for ordered batch contrasts. This is the implemented analysis plan; linear mixed-effects models, REML, Satterthwaite degrees of freedom, Tukey adjustments and AR(1) refits are not current software outputs.</w:t>
      </w:r>
    </w:p>
    <w:p w14:paraId="32A1FE50" w14:textId="77777777" w:rsidR="00FC6EC1" w:rsidRDefault="00000000">
      <w:r>
        <w:t>Effect reporting. The primary reported effect is the mean within-batch difference in cell-median latency, in milliseconds, with its batch-level bootstrap interval. Percentage overhead and failure-rate differences are retained as descriptive companion measures where their denominators are valid. No ratio-of-geometric-means inference, model-estimated marginal mean, or standardised effect size will be claimed unless an additional frozen analysis implementation is added and independently checked.</w:t>
      </w:r>
    </w:p>
    <w:p w14:paraId="0BA60CCC" w14:textId="77777777" w:rsidR="00FC6EC1" w:rsidRDefault="00000000">
      <w:r>
        <w:t>Operational feasibility. The current configuration contains sensitivity thresholds of 0, 1, 5 and 10 ms for reviewing hybrid-minus-classical latency contrasts. These are exploratory reporting thresholds, not validated regulated-enterprise acceptance criteria and not an implemented decision rule for reliability or throughput. Before definitive collection, the supervisor-approved scenario, primary condition and any latency, reliability or throughput margin must be justified, implemented and frozen; otherwise the study will report effect estimates and uncertainty without a pass/fail operational conclusion.</w:t>
      </w:r>
    </w:p>
    <w:p w14:paraId="7C459764" w14:textId="77777777" w:rsidR="00FC6EC1" w:rsidRDefault="00000000">
      <w:r>
        <w:t>Threshold testing. The present code does not conduct non-inferiority tests or calculate one-sided confidence limits for latency, failure rate or throughput. It therefore cannot support a claim that any operational threshold has been met or breached. If a formal threshold decision is required, the exact estimand, margin, sampling plan and analysis code will be added, tested and frozen before definitive data collection.</w:t>
      </w:r>
    </w:p>
    <w:p w14:paraId="14CDDAC1" w14:textId="77777777" w:rsidR="00FC6EC1" w:rsidRDefault="00000000">
      <w:r>
        <w:t>Sensitivity analyses. The implemented sensitivity evidence comprises the configuration snapshot, raw-record validation, all-success/all-zero-byte checks, batch-level bootstrap intervals and lag-1 autocorrelation diagnostics. Re-fitting on transformed scales, excluding anomalies, Bayesian models and other model-based sensitivity analyses are potential extensions only, and any such addition will be documented before it is used for a definitive conclusion.</w:t>
      </w:r>
    </w:p>
    <w:p w14:paraId="384DE885" w14:textId="77777777" w:rsidR="00FC6EC1" w:rsidRDefault="00000000">
      <w:r>
        <w:t>Serial dependence. The report calculates lag-1 autocorrelation for ordered batch contrasts when at least three batches are available. It is a diagnostic; the current software does not apply an AR(1) correction. Run-order evidence and any detected drift will be reported as a limitation or trigger for a revised, frozen analysis plan.</w:t>
      </w:r>
    </w:p>
    <w:p w14:paraId="1FDDF7F5" w14:textId="77777777" w:rsidR="00FC6EC1" w:rsidRDefault="00000000">
      <w:r>
        <w:t>Exploratory and confirmatory results. Until the protocol and analysis plan are frozen and the full schedule is completed, all existing runs are pilot evidence. The definitive report will distinguish pre-specified primary contrasts from exploratory condition-level results. RQ2 and RQ3 will remain explanatory unless their optional throughput, transport-capture or formal-model extensions are completed under a frozen plan. RQ4 will use a traceability matrix so that each migration recommendation is linked to a measured result or a cited standard; recommendations resting on neither will be labelled as judgement.</w:t>
      </w:r>
    </w:p>
    <w:p w14:paraId="217E29FA" w14:textId="77777777" w:rsidR="00FC6EC1" w:rsidRDefault="00000000">
      <w:pPr>
        <w:pStyle w:val="Heading2"/>
      </w:pPr>
      <w:r>
        <w:rPr>
          <w:b w:val="0"/>
        </w:rPr>
        <w:t>4.6 Pre-registration, blinding and data integrity</w:t>
      </w:r>
    </w:p>
    <w:p w14:paraId="001D299A" w14:textId="77777777" w:rsidR="00FC6EC1" w:rsidRDefault="00000000">
      <w:r>
        <w:t>Before definitive data collection, the project will publish a timestamped pre-analysis plan and a frozen configuration snapshot distinct from pilot work. It will specify the primary condition, comparison, sample size, treatment of failures, and the exact implemented inference and threshold procedure. Any change after that point will be recorded with its rationale and will separate affected results from the confirmatory set.</w:t>
      </w:r>
    </w:p>
    <w:p w14:paraId="79D19AE2" w14:textId="77777777" w:rsidR="00FC6EC1" w:rsidRDefault="00000000">
      <w:r>
        <w:t>The experiment is automated and script-driven, but the current runner prints the batch and cell identifiers as it progresses; it does not implement label blinding. This is transparent rather than blinded execution. Every successful handshake records the negotiated group in raw JSONL, and the analysis verifies it. Because outcomes are machine-measured, risks of operator measurement bias are limited; any future blinding procedure will be documented rather than assumed.</w:t>
      </w:r>
    </w:p>
    <w:p w14:paraId="792FDB2B" w14:textId="77777777" w:rsidR="00FC6EC1" w:rsidRDefault="00000000">
      <w:r>
        <w:t>Raw completed-cell observations are written as JSONL alongside a configuration snapshot, environment manifest, schedule state, resource evidence and integrity manifest. The analysis is regenerated from these raw files and produces CSV and JSON outputs plus an optional HTML dashboard. Results from incomplete schedules or validation failures are retained for audit but excluded from definitive claims. The final archive will include the source code, non-sensitive raw data, generated analysis, environment evidence and the exact commands required for reproduction, subject to University rules.</w:t>
      </w:r>
    </w:p>
    <w:p w14:paraId="3BF7EDA4" w14:textId="77777777" w:rsidR="00FC6EC1" w:rsidRDefault="00000000">
      <w:pPr>
        <w:pStyle w:val="Heading1"/>
      </w:pPr>
      <w:r>
        <w:lastRenderedPageBreak/>
        <w:t>5. AI impact assessment</w:t>
      </w:r>
    </w:p>
    <w:p w14:paraId="31649182" w14:textId="77777777" w:rsidR="00FC6EC1" w:rsidRDefault="00000000">
      <w:r>
        <w:t>The AI impact assessment (§5) will be conducted as a structured rapid evidence assessment, reported against the PRISMA 2020 reporting guideline (Page et al., 2021) and scoped according to established rapid-review practice (Tricco et al., 2015), adapted for the bounded scope of a capstone dissertation. PRISMA is a reporting standard rather than a review method, so it governs the flow diagram, screening counts and eligibility disclosure rather than the depth of synthesis. The assessment addresses three secondary questions derived from RQ5.</w:t>
      </w:r>
    </w:p>
    <w:p w14:paraId="7A2EF566" w14:textId="77777777" w:rsidR="00FC6EC1" w:rsidRDefault="00000000">
      <w:r>
        <w:t>SLR-Q1: What are the primary beneficial applications of AI in accelerating a secure PQC migration (e.g., automated code transformation, cryptographic asset discovery, vulnerability analysis)?</w:t>
      </w:r>
    </w:p>
    <w:p w14:paraId="76894DB3" w14:textId="77777777" w:rsidR="00FC6EC1" w:rsidRDefault="00000000">
      <w:r>
        <w:t>SLR-Q2: How can AI be used to weaken or undermine PQC systems (e.g., accelerated side-channel analysis, introduction of implementation vulnerabilities, AI-assisted social engineering targeting migration personnel)?</w:t>
      </w:r>
    </w:p>
    <w:p w14:paraId="0C76D1C7" w14:textId="77777777" w:rsidR="00FC6EC1" w:rsidRDefault="00000000">
      <w:r>
        <w:t>SLR-Q3: What governance and risk management frameworks exist or are proposed specifically for the dual-use nature of AI in cryptographic migration?</w:t>
      </w:r>
    </w:p>
    <w:p w14:paraId="455A7B9C" w14:textId="77777777" w:rsidR="00FC6EC1" w:rsidRDefault="00000000">
      <w:r>
        <w:t>Search strategy. Databases will include IEEE Xplore, ACM Digital Library, Scopus and Web of Science, supplemented by arXiv for pre-prints and by NIST, IETF and NCCoE institutional repositories. Citation chaining from seminal PQC benchmarking papers will identify additional sources. Search strings will combine Boolean terms across two dimensions — post-quantum cryptography (ML-KEM, Kyber, PQC, post-quantum, hybrid) and AI/ML (machine learning, large language model, AI-assisted, automated) — with filters for the PQC migration lifecycle stage (cipher inventory, code transformation, testing, deployment, monitoring). A reproducible search log will be retained.</w:t>
      </w:r>
    </w:p>
    <w:p w14:paraId="3B44F1FA" w14:textId="77777777" w:rsidR="00FC6EC1" w:rsidRDefault="00000000">
      <w:r>
        <w:t>Eligibility. English-language empirical or technical studies from 2018 to the evidence cut-off, plus directly relevant authoritative standards and government guidance from bodies including NIST, IETF, ENISA and NCSC (for example ENISA, 2022; NCSC, 2024). Marketing content, unsupported opinion, and sources that discuss AI in general cybersecurity without a specific link to PQC will be excluded. The search and screening process will be documented in a PRISMA-style flow diagram.</w:t>
      </w:r>
    </w:p>
    <w:p w14:paraId="5F03E9A5" w14:textId="77777777" w:rsidR="00FC6EC1" w:rsidRDefault="00000000">
      <w:r>
        <w:t>Appraisal and extraction. Each included source will be assessed for: methodological transparency, task directness (does the AI capability directly target a PQC migration task?), comparator adequacy, outcome validity, reproducibility, stated limitations, and transferability. Extraction fields will cover: AI task and model, PQC migration stage, study design, comparator, data, outcomes, failure modes, evidence weight, and whether a conclusion is demonstrated, inferred or speculative.</w:t>
      </w:r>
    </w:p>
    <w:p w14:paraId="34275960" w14:textId="77777777" w:rsidR="00FC6EC1" w:rsidRDefault="00000000">
      <w:r>
        <w:lastRenderedPageBreak/>
        <w:t>RQ5 will be addressed through a bounded rapid evidence assessment rather than a full systematic review or an uncontrolled comparison of commercial language models, with a target corpus of approximately 25 to 40 included sources and no more than one fifth of the dissertation word budget, consistent with established rapid-review practice (Tricco et al., 2015). This component is integral rather than supplementary: migration decisions informed by the TLS experiment will in practice be executed with AI-assisted tooling, so the governance evidence conditions how safely the empirical results can be applied. The assessed activities are: (1) cryptographic discovery and inventory; (2) code or configuration transformation; and (3) testing and assurance. AI-enabled quantum engineering will be discussed only as contextual background and will not be used to forecast migration deadlines.</w:t>
      </w:r>
    </w:p>
    <w:p w14:paraId="649C8A12" w14:textId="77777777" w:rsidR="00FC6EC1" w:rsidRDefault="00000000">
      <w:r>
        <w:t>Governance mapping. Candidate uses and controls will be mapped to Govern, Map, Measure and Manage using NIST AI RMF 1.0 and the Generative AI Profile (NIST, 2023; 2024b); the framework version will be rechecked before final submission.</w:t>
      </w:r>
    </w:p>
    <w:p w14:paraId="6469B857" w14:textId="77777777" w:rsidR="00FC6EC1" w:rsidRDefault="00000000">
      <w:r>
        <w:t>The output will be an AI-PQC impact and governance matrix. AI may propose inventories, code changes, tests or documentation, but it will not approve cryptographic choices, evidence or code. Consequential outputs will require human review, standards checks, known-answer tests, static and dynamic analysis, reproducible testing and source verification. No productivity or security claim will be presented as causal without an independently designed and adequately powered empirical study. Existing code-assistant security evidence will be treated as context-dependent rather than universally positive or negative (Pearce et al., 2022; Sandoval et al., 2023).</w:t>
      </w:r>
    </w:p>
    <w:p w14:paraId="46D1DFB6" w14:textId="77777777" w:rsidR="00FC6EC1" w:rsidRDefault="00000000">
      <w:pPr>
        <w:pStyle w:val="Heading1"/>
      </w:pPr>
      <w:r>
        <w:t>6. Ethics, validity and reproducibility</w:t>
      </w:r>
    </w:p>
    <w:p w14:paraId="7C80177D" w14:textId="77777777" w:rsidR="00FC6EC1" w:rsidRDefault="00000000">
      <w:r>
        <w:t>The primary study involves no human participants, personal data, production credentials or external targets. Traffic will remain within an isolated laboratory or local container network. Formal University ethics screening will nevertheless be completed before data collection, and any later addition involving users, organisations or identifiable telemetry would require revised approval.</w:t>
      </w:r>
    </w:p>
    <w:p w14:paraId="59121676" w14:textId="77777777" w:rsidR="00FC6EC1" w:rsidRDefault="00000000">
      <w:pPr>
        <w:keepLines/>
        <w:numPr>
          <w:ilvl w:val="0"/>
          <w:numId w:val="1"/>
        </w:numPr>
        <w:jc w:val="left"/>
      </w:pPr>
      <w:r>
        <w:rPr>
          <w:rFonts w:eastAsia="Calibri"/>
        </w:rPr>
        <w:t>Construct validity: define each measurement boundary and confirm the negotiated group.</w:t>
      </w:r>
    </w:p>
    <w:p w14:paraId="25F4970B" w14:textId="77777777" w:rsidR="00FC6EC1" w:rsidRDefault="00000000">
      <w:pPr>
        <w:keepLines/>
        <w:numPr>
          <w:ilvl w:val="0"/>
          <w:numId w:val="1"/>
        </w:numPr>
        <w:jc w:val="left"/>
      </w:pPr>
      <w:r>
        <w:rPr>
          <w:rFonts w:eastAsia="Calibri"/>
        </w:rPr>
        <w:t>Internal validity: pin versions, hold the workload constant, randomise cell order and monitor background load and thermal effects.</w:t>
      </w:r>
    </w:p>
    <w:p w14:paraId="3353433C" w14:textId="77777777" w:rsidR="00FC6EC1" w:rsidRDefault="00000000">
      <w:pPr>
        <w:keepLines/>
        <w:numPr>
          <w:ilvl w:val="0"/>
          <w:numId w:val="1"/>
        </w:numPr>
        <w:jc w:val="left"/>
      </w:pPr>
      <w:r>
        <w:rPr>
          <w:rFonts w:eastAsia="Calibri"/>
        </w:rPr>
        <w:t>External validity: limit claims to the tested hardware, implementation, certificate profile and network conditions.</w:t>
      </w:r>
    </w:p>
    <w:p w14:paraId="1C471E27" w14:textId="77777777" w:rsidR="00FC6EC1" w:rsidRDefault="00000000">
      <w:r>
        <w:t>Statistical validity: freeze the primary comparison, sample-size rationale and implemented analysis before definitive collection; retain failures and incomplete-run evidence; use batch-aware paired contrasts, batch-level bootstrap intervals, paired sign-randomisation tests, Holm adjustment and lag-1 diagnostics as currently implemented; and report uncertainty and validation status. Any mixed-effects, non-inferiority, reliability-power or throughput-inference extension will be separately implemented and frozen before it informs a definitive conclusion.</w:t>
      </w:r>
    </w:p>
    <w:p w14:paraId="6F5C9156" w14:textId="77777777" w:rsidR="00FC6EC1" w:rsidRDefault="00000000">
      <w:pPr>
        <w:keepLines/>
        <w:numPr>
          <w:ilvl w:val="0"/>
          <w:numId w:val="1"/>
        </w:numPr>
        <w:jc w:val="left"/>
      </w:pPr>
      <w:r>
        <w:rPr>
          <w:rFonts w:eastAsia="Calibri"/>
        </w:rPr>
        <w:t>Reproducibility: retain source code, configuration, non-sensitive raw data, data dictionary, environment manifest and one-command analysis instructions, subject to University submission rules.</w:t>
      </w:r>
    </w:p>
    <w:p w14:paraId="4D4081E8" w14:textId="77777777" w:rsidR="00FC6EC1" w:rsidRDefault="00000000">
      <w:pPr>
        <w:keepLines/>
        <w:numPr>
          <w:ilvl w:val="0"/>
          <w:numId w:val="1"/>
        </w:numPr>
        <w:jc w:val="left"/>
      </w:pPr>
      <w:r>
        <w:rPr>
          <w:rFonts w:eastAsia="Calibri"/>
        </w:rPr>
        <w:t>Academic integrity: verify every source and consequential AI-assisted output against original publications, standards, tests or raw data; disclose material AI use where required.</w:t>
      </w:r>
    </w:p>
    <w:p w14:paraId="3EC49040" w14:textId="77777777" w:rsidR="00FC6EC1" w:rsidRDefault="00000000">
      <w:pPr>
        <w:pStyle w:val="Heading1"/>
      </w:pPr>
      <w:r>
        <w:t>7. Feasibility and feedback requested</w:t>
      </w:r>
    </w:p>
    <w:p w14:paraId="15DEC177" w14:textId="77777777" w:rsidR="00FC6EC1" w:rsidRDefault="00000000">
      <w:r>
        <w:t>The proposal is feasible as a bounded laboratory project because the three planned TLS groups run in the pinned OpenSSL 3.5.7 container image and the core experiment can be executed on an isolated container network. The minimum viable project is the three-way comparison, full-handshake JSONL capture, integrity validation, batch-aware Python analysis and dashboard presentation. The separate netns throughput workload, packet capture, granular cryptographic microbenchmarks, post-quantum certificate authentication, additional hardware platforms and formal threshold testing are extensions that may be reduced or deferred. All existing output is labelled pilot until the protocol is frozen and a complete schedule validates successfully. TLS group names and standards references will be revalidated before final submission.</w:t>
      </w:r>
    </w:p>
    <w:tbl>
      <w:tblPr>
        <w:tblStyle w:val="TableGrid"/>
        <w:tblW w:w="9360" w:type="dxa"/>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ayout w:type="fixed"/>
        <w:tblLook w:val="04A0" w:firstRow="1" w:lastRow="0" w:firstColumn="1" w:lastColumn="0" w:noHBand="0" w:noVBand="1"/>
      </w:tblPr>
      <w:tblGrid>
        <w:gridCol w:w="2160"/>
        <w:gridCol w:w="7200"/>
      </w:tblGrid>
      <w:tr w:rsidR="00FC6EC1" w14:paraId="14D38A11" w14:textId="77777777">
        <w:trPr>
          <w:cantSplit/>
          <w:tblHeader/>
        </w:trPr>
        <w:tc>
          <w:tcPr>
            <w:tcW w:w="2160" w:type="dxa"/>
            <w:shd w:val="clear" w:color="auto" w:fill="F4F6F9"/>
            <w:tcMar>
              <w:top w:w="80" w:type="dxa"/>
              <w:left w:w="120" w:type="dxa"/>
              <w:bottom w:w="80" w:type="dxa"/>
              <w:right w:w="120" w:type="dxa"/>
            </w:tcMar>
            <w:vAlign w:val="center"/>
          </w:tcPr>
          <w:p w14:paraId="1DB0C062" w14:textId="77777777" w:rsidR="00FC6EC1" w:rsidRDefault="00000000">
            <w:pPr>
              <w:pStyle w:val="TableText"/>
            </w:pPr>
            <w:r>
              <w:rPr>
                <w:rFonts w:eastAsia="Calibri"/>
                <w:b/>
                <w:color w:val="1F4D78"/>
              </w:rPr>
              <w:t>Stage</w:t>
            </w:r>
          </w:p>
        </w:tc>
        <w:tc>
          <w:tcPr>
            <w:tcW w:w="7200" w:type="dxa"/>
            <w:shd w:val="clear" w:color="auto" w:fill="F4F6F9"/>
            <w:tcMar>
              <w:top w:w="80" w:type="dxa"/>
              <w:left w:w="120" w:type="dxa"/>
              <w:bottom w:w="80" w:type="dxa"/>
              <w:right w:w="120" w:type="dxa"/>
            </w:tcMar>
            <w:vAlign w:val="center"/>
          </w:tcPr>
          <w:p w14:paraId="20D13463" w14:textId="77777777" w:rsidR="00FC6EC1" w:rsidRDefault="00000000">
            <w:pPr>
              <w:pStyle w:val="TableText"/>
            </w:pPr>
            <w:r>
              <w:rPr>
                <w:rFonts w:eastAsia="Calibri"/>
                <w:b/>
                <w:color w:val="1F4D78"/>
              </w:rPr>
              <w:t>Principal output</w:t>
            </w:r>
          </w:p>
        </w:tc>
      </w:tr>
      <w:tr w:rsidR="00FC6EC1" w14:paraId="57D15443" w14:textId="77777777">
        <w:trPr>
          <w:cantSplit/>
        </w:trPr>
        <w:tc>
          <w:tcPr>
            <w:tcW w:w="2160" w:type="dxa"/>
            <w:tcMar>
              <w:top w:w="80" w:type="dxa"/>
              <w:left w:w="120" w:type="dxa"/>
              <w:bottom w:w="80" w:type="dxa"/>
              <w:right w:w="120" w:type="dxa"/>
            </w:tcMar>
            <w:vAlign w:val="center"/>
          </w:tcPr>
          <w:p w14:paraId="12646853" w14:textId="77777777" w:rsidR="00FC6EC1" w:rsidRDefault="00000000">
            <w:pPr>
              <w:pStyle w:val="TableText"/>
            </w:pPr>
            <w:r>
              <w:rPr>
                <w:rFonts w:eastAsia="Calibri"/>
              </w:rPr>
              <w:t>Scope and approval</w:t>
            </w:r>
          </w:p>
        </w:tc>
        <w:tc>
          <w:tcPr>
            <w:tcW w:w="7200" w:type="dxa"/>
            <w:tcMar>
              <w:top w:w="80" w:type="dxa"/>
              <w:left w:w="120" w:type="dxa"/>
              <w:bottom w:w="80" w:type="dxa"/>
              <w:right w:w="120" w:type="dxa"/>
            </w:tcMar>
            <w:vAlign w:val="center"/>
          </w:tcPr>
          <w:p w14:paraId="3102E9D5" w14:textId="77777777" w:rsidR="00FC6EC1" w:rsidRDefault="00000000">
            <w:pPr>
              <w:pStyle w:val="TableText"/>
            </w:pPr>
            <w:r>
              <w:rPr>
                <w:rFonts w:eastAsia="Calibri"/>
              </w:rPr>
              <w:t>Confirmed questions, comparator status, ethics screening and acceptance thresholds.</w:t>
            </w:r>
          </w:p>
        </w:tc>
      </w:tr>
      <w:tr w:rsidR="00FC6EC1" w14:paraId="0E104349" w14:textId="77777777">
        <w:trPr>
          <w:cantSplit/>
        </w:trPr>
        <w:tc>
          <w:tcPr>
            <w:tcW w:w="2160" w:type="dxa"/>
            <w:tcMar>
              <w:top w:w="80" w:type="dxa"/>
              <w:left w:w="120" w:type="dxa"/>
              <w:bottom w:w="80" w:type="dxa"/>
              <w:right w:w="120" w:type="dxa"/>
            </w:tcMar>
            <w:vAlign w:val="center"/>
          </w:tcPr>
          <w:p w14:paraId="149A7DE9" w14:textId="77777777" w:rsidR="00FC6EC1" w:rsidRDefault="00000000">
            <w:pPr>
              <w:pStyle w:val="TableText"/>
            </w:pPr>
            <w:r>
              <w:rPr>
                <w:rFonts w:eastAsia="Calibri"/>
              </w:rPr>
              <w:t>Artefact and pilot</w:t>
            </w:r>
          </w:p>
        </w:tc>
        <w:tc>
          <w:tcPr>
            <w:tcW w:w="7200" w:type="dxa"/>
            <w:tcMar>
              <w:top w:w="80" w:type="dxa"/>
              <w:left w:w="120" w:type="dxa"/>
              <w:bottom w:w="80" w:type="dxa"/>
              <w:right w:w="120" w:type="dxa"/>
            </w:tcMar>
            <w:vAlign w:val="center"/>
          </w:tcPr>
          <w:p w14:paraId="05DD18E2" w14:textId="77777777" w:rsidR="00FC6EC1" w:rsidRDefault="00000000">
            <w:pPr>
              <w:pStyle w:val="TableText"/>
            </w:pPr>
            <w:r>
              <w:rPr>
                <w:rFonts w:eastAsia="Calibri"/>
              </w:rPr>
              <w:t>Reproducible build, verified group negotiation, validated instrumentation and sample-size decision.</w:t>
            </w:r>
          </w:p>
        </w:tc>
      </w:tr>
      <w:tr w:rsidR="00FC6EC1" w14:paraId="55EBFA75" w14:textId="77777777">
        <w:trPr>
          <w:cantSplit/>
        </w:trPr>
        <w:tc>
          <w:tcPr>
            <w:tcW w:w="2160" w:type="dxa"/>
            <w:tcMar>
              <w:top w:w="80" w:type="dxa"/>
              <w:left w:w="120" w:type="dxa"/>
              <w:bottom w:w="80" w:type="dxa"/>
              <w:right w:w="120" w:type="dxa"/>
            </w:tcMar>
            <w:vAlign w:val="center"/>
          </w:tcPr>
          <w:p w14:paraId="20F20F4E" w14:textId="77777777" w:rsidR="00FC6EC1" w:rsidRDefault="00000000">
            <w:pPr>
              <w:pStyle w:val="TableText"/>
            </w:pPr>
            <w:r>
              <w:rPr>
                <w:rFonts w:eastAsia="Calibri"/>
              </w:rPr>
              <w:t>Definitive experiment</w:t>
            </w:r>
          </w:p>
        </w:tc>
        <w:tc>
          <w:tcPr>
            <w:tcW w:w="7200" w:type="dxa"/>
            <w:tcMar>
              <w:top w:w="80" w:type="dxa"/>
              <w:left w:w="120" w:type="dxa"/>
              <w:bottom w:w="80" w:type="dxa"/>
              <w:right w:w="120" w:type="dxa"/>
            </w:tcMar>
            <w:vAlign w:val="center"/>
          </w:tcPr>
          <w:p w14:paraId="0141D744" w14:textId="77777777" w:rsidR="00FC6EC1" w:rsidRDefault="00000000">
            <w:pPr>
              <w:pStyle w:val="TableText"/>
            </w:pPr>
            <w:r>
              <w:rPr>
                <w:rFonts w:eastAsia="Calibri"/>
              </w:rPr>
              <w:t>Raw data, manifests, logs and integrity checks.</w:t>
            </w:r>
          </w:p>
        </w:tc>
      </w:tr>
      <w:tr w:rsidR="00FC6EC1" w14:paraId="0FFF36F1" w14:textId="77777777">
        <w:trPr>
          <w:cantSplit/>
        </w:trPr>
        <w:tc>
          <w:tcPr>
            <w:tcW w:w="2160" w:type="dxa"/>
            <w:tcMar>
              <w:top w:w="80" w:type="dxa"/>
              <w:left w:w="120" w:type="dxa"/>
              <w:bottom w:w="80" w:type="dxa"/>
              <w:right w:w="120" w:type="dxa"/>
            </w:tcMar>
            <w:vAlign w:val="center"/>
          </w:tcPr>
          <w:p w14:paraId="58F44188" w14:textId="77777777" w:rsidR="00FC6EC1" w:rsidRDefault="00000000">
            <w:pPr>
              <w:pStyle w:val="TableText"/>
            </w:pPr>
            <w:r>
              <w:rPr>
                <w:rFonts w:eastAsia="Calibri"/>
              </w:rPr>
              <w:t>Analysis and synthesis</w:t>
            </w:r>
          </w:p>
        </w:tc>
        <w:tc>
          <w:tcPr>
            <w:tcW w:w="7200" w:type="dxa"/>
            <w:tcMar>
              <w:top w:w="80" w:type="dxa"/>
              <w:left w:w="120" w:type="dxa"/>
              <w:bottom w:w="80" w:type="dxa"/>
              <w:right w:w="120" w:type="dxa"/>
            </w:tcMar>
            <w:vAlign w:val="center"/>
          </w:tcPr>
          <w:p w14:paraId="2D82DA58" w14:textId="77777777" w:rsidR="00FC6EC1" w:rsidRDefault="00000000">
            <w:pPr>
              <w:pStyle w:val="TableText"/>
            </w:pPr>
            <w:r>
              <w:rPr>
                <w:rFonts w:eastAsia="Calibri"/>
              </w:rPr>
              <w:t>Statistical outputs, validity assessment and AI-PQC governance matrix.</w:t>
            </w:r>
          </w:p>
        </w:tc>
      </w:tr>
      <w:tr w:rsidR="00FC6EC1" w14:paraId="361FC177" w14:textId="77777777">
        <w:trPr>
          <w:cantSplit/>
        </w:trPr>
        <w:tc>
          <w:tcPr>
            <w:tcW w:w="2160" w:type="dxa"/>
            <w:tcMar>
              <w:top w:w="80" w:type="dxa"/>
              <w:left w:w="120" w:type="dxa"/>
              <w:bottom w:w="80" w:type="dxa"/>
              <w:right w:w="120" w:type="dxa"/>
            </w:tcMar>
            <w:vAlign w:val="center"/>
          </w:tcPr>
          <w:p w14:paraId="4CEB6E47" w14:textId="77777777" w:rsidR="00FC6EC1" w:rsidRDefault="00000000">
            <w:pPr>
              <w:pStyle w:val="TableText"/>
            </w:pPr>
            <w:r>
              <w:rPr>
                <w:rFonts w:eastAsia="Calibri"/>
              </w:rPr>
              <w:t>Writing and submission</w:t>
            </w:r>
          </w:p>
        </w:tc>
        <w:tc>
          <w:tcPr>
            <w:tcW w:w="7200" w:type="dxa"/>
            <w:tcMar>
              <w:top w:w="80" w:type="dxa"/>
              <w:left w:w="120" w:type="dxa"/>
              <w:bottom w:w="80" w:type="dxa"/>
              <w:right w:w="120" w:type="dxa"/>
            </w:tcMar>
            <w:vAlign w:val="center"/>
          </w:tcPr>
          <w:p w14:paraId="7EF27281" w14:textId="77777777" w:rsidR="00FC6EC1" w:rsidRDefault="00000000">
            <w:pPr>
              <w:pStyle w:val="TableText"/>
            </w:pPr>
            <w:r>
              <w:rPr>
                <w:rFonts w:eastAsia="Calibri"/>
              </w:rPr>
              <w:t>Integrated dissertation, reproducibility evidence and final alignment to the official brief.</w:t>
            </w:r>
          </w:p>
        </w:tc>
      </w:tr>
    </w:tbl>
    <w:p w14:paraId="7B4DBCC8" w14:textId="77777777" w:rsidR="00FC6EC1" w:rsidRDefault="00000000">
      <w:pPr>
        <w:pStyle w:val="Heading2"/>
      </w:pPr>
      <w:r>
        <w:t>7.1 Points for supervisor feedback</w:t>
      </w:r>
    </w:p>
    <w:p w14:paraId="70503A97" w14:textId="77777777" w:rsidR="00FC6EC1" w:rsidRDefault="00000000">
      <w:pPr>
        <w:keepLines/>
        <w:numPr>
          <w:ilvl w:val="0"/>
          <w:numId w:val="1"/>
        </w:numPr>
        <w:jc w:val="left"/>
      </w:pPr>
      <w:r>
        <w:rPr>
          <w:rFonts w:eastAsia="Calibri"/>
        </w:rPr>
        <w:t>Is the classical, pure post-quantum and hybrid three-way comparison appropriate, or should MLKEM768 remain exploratory because its TLS specification is still evolving?</w:t>
      </w:r>
    </w:p>
    <w:p w14:paraId="50E4AF50" w14:textId="77777777" w:rsidR="00FC6EC1" w:rsidRDefault="00000000">
      <w:pPr>
        <w:keepLines/>
        <w:numPr>
          <w:ilvl w:val="0"/>
          <w:numId w:val="1"/>
        </w:numPr>
        <w:jc w:val="left"/>
      </w:pPr>
      <w:r>
        <w:rPr>
          <w:rFonts w:eastAsia="Calibri"/>
        </w:rPr>
        <w:t>Should the primary condition and any operational acceptance threshold be defined by a regulated-enterprise API scenario or by a different, explicitly justified organisational scenario, before the definitive configuration is frozen?</w:t>
      </w:r>
    </w:p>
    <w:p w14:paraId="70265EA9" w14:textId="77777777" w:rsidR="00FC6EC1" w:rsidRDefault="00000000">
      <w:pPr>
        <w:keepLines/>
        <w:numPr>
          <w:ilvl w:val="0"/>
          <w:numId w:val="1"/>
        </w:numPr>
        <w:jc w:val="left"/>
      </w:pPr>
      <w:r>
        <w:rPr>
          <w:rFonts w:eastAsia="Calibri"/>
        </w:rPr>
        <w:t>Is the capped rapid evidence assessment in Section 5 a proportionate treatment of AI for the capstone, while keeping the TLS experiment central?</w:t>
      </w:r>
    </w:p>
    <w:p w14:paraId="0B0A67FE" w14:textId="77777777" w:rsidR="00FC6EC1" w:rsidRDefault="00000000">
      <w:pPr>
        <w:keepLines/>
        <w:numPr>
          <w:ilvl w:val="0"/>
          <w:numId w:val="1"/>
        </w:numPr>
        <w:jc w:val="left"/>
      </w:pPr>
      <w:r>
        <w:rPr>
          <w:rFonts w:eastAsia="Calibri"/>
        </w:rPr>
        <w:lastRenderedPageBreak/>
        <w:t>Should certificate authentication or a second hardware platform be included only if the minimum viable experiment is completed early?</w:t>
      </w:r>
    </w:p>
    <w:p w14:paraId="294432A6" w14:textId="77777777" w:rsidR="00FC6EC1" w:rsidRDefault="00000000">
      <w:pPr>
        <w:keepLines/>
        <w:numPr>
          <w:ilvl w:val="0"/>
          <w:numId w:val="1"/>
        </w:numPr>
        <w:jc w:val="left"/>
      </w:pPr>
      <w:r>
        <w:rPr>
          <w:rFonts w:eastAsia="Calibri"/>
        </w:rPr>
        <w:t>What repository, raw-data, packet-capture, ethics and AI-use disclosure requirements will apply under the official module brief?</w:t>
      </w:r>
    </w:p>
    <w:p w14:paraId="3857C6B3" w14:textId="77777777" w:rsidR="00FC6EC1" w:rsidRDefault="00000000">
      <w:pPr>
        <w:keepLines/>
        <w:numPr>
          <w:ilvl w:val="0"/>
          <w:numId w:val="1"/>
        </w:numPr>
        <w:jc w:val="left"/>
      </w:pPr>
      <w:r>
        <w:rPr>
          <w:rFonts w:eastAsia="Calibri"/>
        </w:rPr>
        <w:t>Which components of the analysis plan in Section 4.5 are expected at capstone level, and which — the optional Bayesian re-fit, the constant-time leakage test, the high-volume reliability sub-experiment — should be treated as extensions to be attempted only if the minimum viable experiment completes early?</w:t>
      </w:r>
    </w:p>
    <w:p w14:paraId="1A6E83F1" w14:textId="77777777" w:rsidR="00FC6EC1" w:rsidRDefault="00000000">
      <w:pPr>
        <w:pStyle w:val="Heading1"/>
      </w:pPr>
      <w:r>
        <w:t>Selected preliminary references</w:t>
      </w:r>
    </w:p>
    <w:p w14:paraId="1CC86FE5" w14:textId="77777777" w:rsidR="00FC6EC1" w:rsidRDefault="00000000">
      <w:pPr>
        <w:pStyle w:val="Reference"/>
      </w:pPr>
      <w:r>
        <w:rPr>
          <w:rFonts w:eastAsia="Calibri"/>
        </w:rPr>
        <w:t>European Union Agency for Cybersecurity (ENISA) (2022) Post-Quantum Cryptography: Integration Study. Athens: ENISA. Available at: https://www.enisa.europa.eu/publications/post-quantum-cryptography-integration-study (Accessed: 27 July 2026).</w:t>
      </w:r>
    </w:p>
    <w:p w14:paraId="507978A3" w14:textId="77777777" w:rsidR="00FC6EC1" w:rsidRDefault="00000000">
      <w:pPr>
        <w:pStyle w:val="Reference"/>
      </w:pPr>
      <w:r>
        <w:rPr>
          <w:rFonts w:eastAsia="Calibri"/>
        </w:rPr>
        <w:t>Hevner, A.R., March, S.T., Park, J. and Ram, S. (2004) 'Design science in information systems research', MIS Quarterly, 28(1), pp. 75-105. https://doi.org/10.2307/25148625.</w:t>
      </w:r>
    </w:p>
    <w:p w14:paraId="5F15D3E3" w14:textId="77777777" w:rsidR="00FC6EC1" w:rsidRDefault="00000000">
      <w:pPr>
        <w:pStyle w:val="Reference"/>
      </w:pPr>
      <w:r>
        <w:rPr>
          <w:rFonts w:eastAsia="Calibri"/>
        </w:rPr>
        <w:t>Internet Engineering Task Force (IETF) (2026a) Post-quantum hybrid ECDHE-MLKEM Key Agreement for TLSv1.3, Internet-Draft draft-ietf-tls-ecdhe-mlkem-05, work in progress. Available at: https://datatracker.ietf.org/doc/draft-ietf-tls-ecdhe-mlkem/ (Accessed: 26 July 2026).</w:t>
      </w:r>
    </w:p>
    <w:p w14:paraId="636EA107" w14:textId="77777777" w:rsidR="00FC6EC1" w:rsidRDefault="00000000">
      <w:pPr>
        <w:pStyle w:val="Reference"/>
      </w:pPr>
      <w:r>
        <w:rPr>
          <w:rFonts w:eastAsia="Calibri"/>
        </w:rPr>
        <w:t>Internet Engineering Task Force (IETF) (2026b) ML-KEM Post-Quantum Key Agreement for TLS 1.3, Internet-Draft draft-ietf-tls-mlkem-09, work in progress. Available at: https://datatracker.ietf.org/doc/draft-ietf-tls-mlkem/ (Accessed: 26 July 2026).</w:t>
      </w:r>
    </w:p>
    <w:p w14:paraId="26246329" w14:textId="77777777" w:rsidR="00FC6EC1" w:rsidRDefault="00000000">
      <w:pPr>
        <w:pStyle w:val="Reference"/>
      </w:pPr>
      <w:r>
        <w:rPr>
          <w:rFonts w:eastAsia="Calibri"/>
        </w:rPr>
        <w:t>Mosca, M. (2018) 'Cybersecurity in an era with quantum computers: Will we be ready?', IEEE Security &amp; Privacy, 16(5), pp. 38-41. https://doi.org/10.1109/MSEC.2018.2873864.</w:t>
      </w:r>
    </w:p>
    <w:p w14:paraId="5CFCD8A9" w14:textId="77777777" w:rsidR="00FC6EC1" w:rsidRDefault="00000000">
      <w:pPr>
        <w:pStyle w:val="Reference"/>
      </w:pPr>
      <w:r>
        <w:rPr>
          <w:rFonts w:eastAsia="Calibri"/>
        </w:rPr>
        <w:t>National Cyber Security Centre (NCSC) (2024) Next steps in preparing for post-quantum cryptography. Version 2.0, 14 August. London: NCSC. Available at: https://www.ncsc.gov.uk/paper/next-steps-in-preparing-for-post-quantum-cryptography (Accessed: 27 July 2026).</w:t>
      </w:r>
    </w:p>
    <w:p w14:paraId="6B10B125" w14:textId="77777777" w:rsidR="00FC6EC1" w:rsidRDefault="00000000">
      <w:pPr>
        <w:pStyle w:val="Reference"/>
      </w:pPr>
      <w:r>
        <w:rPr>
          <w:rFonts w:eastAsia="Calibri"/>
        </w:rPr>
        <w:t>National Institute of Standards and Technology (NIST) (2023) Artificial Intelligence Risk Management Framework (AI RMF 1.0), NIST AI 100-1. Gaithersburg, MD: NIST. https://doi.org/10.6028/NIST.AI.100-1.</w:t>
      </w:r>
    </w:p>
    <w:p w14:paraId="7A68CBE7" w14:textId="77777777" w:rsidR="00FC6EC1" w:rsidRDefault="00000000">
      <w:pPr>
        <w:pStyle w:val="Reference"/>
      </w:pPr>
      <w:r>
        <w:rPr>
          <w:rFonts w:eastAsia="Calibri"/>
        </w:rPr>
        <w:t>National Institute of Standards and Technology (NIST) (2024a) FIPS 203: Module-Lattice-Based Key-Encapsulation Mechanism Standard. Gaithersburg, MD: NIST. https://doi.org/10.6028/NIST.FIPS.203.</w:t>
      </w:r>
    </w:p>
    <w:p w14:paraId="216359AD" w14:textId="77777777" w:rsidR="00FC6EC1" w:rsidRDefault="00000000">
      <w:pPr>
        <w:pStyle w:val="Reference"/>
      </w:pPr>
      <w:r>
        <w:rPr>
          <w:rFonts w:eastAsia="Calibri"/>
        </w:rPr>
        <w:t>National Institute of Standards and Technology (NIST) (2024b) Artificial Intelligence Risk Management Framework: Generative Artificial Intelligence Profile, NIST AI 600-1. Gaithersburg, MD: NIST. https://doi.org/10.6028/NIST.AI.600-1.</w:t>
      </w:r>
    </w:p>
    <w:p w14:paraId="7B7405F4" w14:textId="77777777" w:rsidR="00FC6EC1" w:rsidRDefault="00000000">
      <w:pPr>
        <w:pStyle w:val="Reference"/>
      </w:pPr>
      <w:r>
        <w:rPr>
          <w:rFonts w:eastAsia="Calibri"/>
        </w:rPr>
        <w:t>OpenSSL Project (2026) SSL_CONF_cmd: supported TLS groups in OpenSSL 3.5. Available at: https://docs.openssl.org/3.5/man3/SSL_CONF_cmd/ (Accessed: 26 July 2026).</w:t>
      </w:r>
    </w:p>
    <w:p w14:paraId="2D15661E" w14:textId="77777777" w:rsidR="00FC6EC1" w:rsidRDefault="00000000">
      <w:pPr>
        <w:pStyle w:val="Reference"/>
      </w:pPr>
      <w:r>
        <w:rPr>
          <w:rFonts w:eastAsia="Calibri"/>
        </w:rPr>
        <w:t>Page, M.J., McKenzie, J.E., Bossuyt, P.M., Boutron, I., Hoffmann, T.C., Mulrow, C.D. et al. (2021) 'The PRISMA 2020 statement: an updated guideline for reporting systematic reviews', BMJ, 372, n71. https://doi.org/10.1136/bmj.n71.</w:t>
      </w:r>
    </w:p>
    <w:p w14:paraId="28FB45C5" w14:textId="77777777" w:rsidR="00FC6EC1" w:rsidRDefault="00000000">
      <w:pPr>
        <w:pStyle w:val="Reference"/>
      </w:pPr>
      <w:r>
        <w:rPr>
          <w:rFonts w:eastAsia="Calibri"/>
        </w:rPr>
        <w:t>Paquin, C., Stebila, D. and Tamvada, G. (2020) 'Benchmarking post-quantum cryptography in TLS', in Ding, J. and Tillich, J.-P. (eds.) Post-Quantum Cryptography: PQCrypto 2020, Lecture Notes in Computer Science, vol. 12100. Cham: Springer, pp. 72-91. https://doi.org/10.1007/978-3-030-44223-1_5.</w:t>
      </w:r>
    </w:p>
    <w:p w14:paraId="4AB06B3C" w14:textId="77777777" w:rsidR="00FC6EC1" w:rsidRDefault="00000000">
      <w:pPr>
        <w:pStyle w:val="Reference"/>
      </w:pPr>
      <w:r>
        <w:rPr>
          <w:rFonts w:eastAsia="Calibri"/>
        </w:rPr>
        <w:lastRenderedPageBreak/>
        <w:t>Pearce, H., Ahmad, B., Tan, B., Dolan-Gavitt, B. and Karri, R. (2022) 'Asleep at the keyboard? Assessing the security of GitHub Copilot's code contributions', 2022 IEEE Symposium on Security and Privacy, pp. 754-768. https://doi.org/10.1109/SP46214.2022.9833571.</w:t>
      </w:r>
    </w:p>
    <w:p w14:paraId="6D0EC060" w14:textId="77777777" w:rsidR="00FC6EC1" w:rsidRDefault="00000000">
      <w:pPr>
        <w:pStyle w:val="Reference"/>
      </w:pPr>
      <w:r>
        <w:rPr>
          <w:rFonts w:eastAsia="Calibri"/>
        </w:rPr>
        <w:t>Peffers, K., Tuunanen, T., Rothenberger, M.A. and Chatterjee, S. (2007) 'A design science research methodology for information systems research', Journal of Management Information Systems, 24(3), pp. 45-77. https://doi.org/10.2753/MIS0742-1222240302.</w:t>
      </w:r>
    </w:p>
    <w:p w14:paraId="69F70C12" w14:textId="77777777" w:rsidR="00FC6EC1" w:rsidRDefault="00000000">
      <w:pPr>
        <w:pStyle w:val="Reference"/>
      </w:pPr>
      <w:r>
        <w:rPr>
          <w:rFonts w:eastAsia="Calibri"/>
        </w:rPr>
        <w:t>Reparaz, O., Balasch, J. and Verbauwhede, I. (2017) 'Dude, is my code constant time?', Design, Automation and Test in Europe Conference (DATE 2017), pp. 1701-1706. https://doi.org/10.23919/DATE.2017.7927267.</w:t>
      </w:r>
    </w:p>
    <w:p w14:paraId="45970FA4" w14:textId="77777777" w:rsidR="00FC6EC1" w:rsidRDefault="00000000">
      <w:pPr>
        <w:pStyle w:val="Reference"/>
      </w:pPr>
      <w:r>
        <w:rPr>
          <w:rFonts w:eastAsia="Calibri"/>
        </w:rPr>
        <w:t>Rescorla, E. (2018) The Transport Layer Security (TLS) Protocol Version 1.3, RFC 8446. Internet Engineering Task Force. https://doi.org/10.17487/RFC8446.</w:t>
      </w:r>
    </w:p>
    <w:p w14:paraId="4F3FDF25" w14:textId="77777777" w:rsidR="00FC6EC1" w:rsidRDefault="00000000">
      <w:pPr>
        <w:pStyle w:val="Reference"/>
      </w:pPr>
      <w:r>
        <w:rPr>
          <w:rFonts w:eastAsia="Calibri"/>
        </w:rPr>
        <w:t>Sandoval, G., Pearce, H., Nys, T., Karri, R., Dolan-Gavitt, B. and Garg, S. (2023) 'Lost at C: A user study on the security implications of large language model code assistants', 32nd USENIX Security Symposium, pp. 2205-2222. Available at: https://www.usenix.org/conference/usenixsecurity23/presentation/sandoval (Accessed: 26 July 2026).</w:t>
      </w:r>
    </w:p>
    <w:p w14:paraId="60605CBD" w14:textId="77777777" w:rsidR="00FC6EC1" w:rsidRDefault="00000000">
      <w:pPr>
        <w:pStyle w:val="Reference"/>
      </w:pPr>
      <w:r>
        <w:rPr>
          <w:rFonts w:eastAsia="Calibri"/>
        </w:rPr>
        <w:t>Schwabe, P., Stebila, D. and Wiggers, T. (2020) 'Post-quantum TLS without handshake signatures', Proceedings of the 2020 ACM SIGSAC Conference on Computer and Communications Security, pp. 1461-1480. https://doi.org/10.1145/3372297.3423350.</w:t>
      </w:r>
    </w:p>
    <w:p w14:paraId="6BD2B7BE" w14:textId="77777777" w:rsidR="00FC6EC1" w:rsidRDefault="00000000">
      <w:pPr>
        <w:pStyle w:val="Reference"/>
      </w:pPr>
      <w:r>
        <w:rPr>
          <w:rFonts w:eastAsia="Calibri"/>
        </w:rPr>
        <w:t>Shor, P.W. (1994) 'Algorithms for quantum computation: discrete logarithms and factoring', Proceedings of the 35th Annual Symposium on Foundations of Computer Science, pp. 124-134. https://doi.org/10.1109/SFCS.1994.365700.</w:t>
      </w:r>
    </w:p>
    <w:p w14:paraId="0DDFE23F" w14:textId="77777777" w:rsidR="00FC6EC1" w:rsidRDefault="00000000">
      <w:pPr>
        <w:pStyle w:val="Reference"/>
      </w:pPr>
      <w:r>
        <w:rPr>
          <w:rFonts w:eastAsia="Calibri"/>
        </w:rPr>
        <w:t>Sikeridis, D., Kampanakis, P. and Devetsikiotis, M. (2020) 'Post-quantum authentication in TLS 1.3: a performance study', Network and Distributed System Security Symposium (NDSS). https://doi.org/10.14722/ndss.2020.24203.</w:t>
      </w:r>
    </w:p>
    <w:p w14:paraId="60F745DB" w14:textId="77777777" w:rsidR="00FC6EC1" w:rsidRDefault="00000000">
      <w:pPr>
        <w:pStyle w:val="Reference"/>
      </w:pPr>
      <w:r>
        <w:rPr>
          <w:rFonts w:eastAsia="Calibri"/>
        </w:rPr>
        <w:t>Tricco, A.C., Antony, J., Zarin, W., Strifler, L., Ghassemi, M., Ivory, J., Perrier, L., Hutton, B., Moher, D. and Straus, S.E. (2015) 'A scoping review of rapid review methods', BMC Medicine, 13, 224. https://doi.org/10.1186/s12916-015-0465-6.</w:t>
      </w:r>
    </w:p>
    <w:sectPr w:rsidR="00FC6EC1"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50EB00" w14:textId="77777777" w:rsidR="00321DEE" w:rsidRDefault="00321DEE">
      <w:pPr>
        <w:spacing w:after="0" w:line="240" w:lineRule="auto"/>
      </w:pPr>
      <w:r>
        <w:separator/>
      </w:r>
    </w:p>
  </w:endnote>
  <w:endnote w:type="continuationSeparator" w:id="0">
    <w:p w14:paraId="67D7FF6E" w14:textId="77777777" w:rsidR="00321DEE" w:rsidRDefault="00321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8525F9" w14:textId="77777777" w:rsidR="00FC6EC1" w:rsidRDefault="00000000">
    <w:pPr>
      <w:pStyle w:val="Footer"/>
      <w:jc w:val="right"/>
    </w:pPr>
    <w:r>
      <w:rPr>
        <w:rFonts w:eastAsia="Calibri"/>
        <w:color w:val="5F6368"/>
        <w:sz w:val="18"/>
      </w:rPr>
      <w:t xml:space="preserve">Page </w:t>
    </w:r>
    <w:r>
      <w:rPr>
        <w:rFonts w:eastAsia="Calibri"/>
        <w:color w:val="5F6368"/>
        <w:sz w:val="18"/>
      </w:rPr>
      <w:fldChar w:fldCharType="begin"/>
    </w:r>
    <w:r>
      <w:rPr>
        <w:rFonts w:eastAsia="Calibri"/>
        <w:color w:val="5F6368"/>
        <w:sz w:val="18"/>
      </w:rPr>
      <w:instrText xml:space="preserve"> PAGE </w:instrText>
    </w:r>
    <w:r w:rsidR="00AB4E12">
      <w:rPr>
        <w:rFonts w:eastAsia="Calibri"/>
        <w:color w:val="5F6368"/>
        <w:sz w:val="18"/>
      </w:rPr>
      <w:fldChar w:fldCharType="separate"/>
    </w:r>
    <w:r w:rsidR="00AB4E12">
      <w:rPr>
        <w:rFonts w:eastAsia="Calibri"/>
        <w:noProof/>
        <w:color w:val="5F6368"/>
        <w:sz w:val="18"/>
      </w:rPr>
      <w:t>1</w:t>
    </w:r>
    <w:r>
      <w:rPr>
        <w:rFonts w:eastAsia="Calibri"/>
        <w:color w:val="5F636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16CD6C" w14:textId="77777777" w:rsidR="00321DEE" w:rsidRDefault="00321DEE">
      <w:pPr>
        <w:spacing w:after="0" w:line="240" w:lineRule="auto"/>
      </w:pPr>
      <w:r>
        <w:separator/>
      </w:r>
    </w:p>
  </w:footnote>
  <w:footnote w:type="continuationSeparator" w:id="0">
    <w:p w14:paraId="37931DA6" w14:textId="77777777" w:rsidR="00321DEE" w:rsidRDefault="00321D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EB2D93" w14:textId="77777777" w:rsidR="00FC6EC1" w:rsidRDefault="00000000">
    <w:pPr>
      <w:pStyle w:val="Header"/>
      <w:tabs>
        <w:tab w:val="left" w:pos="9360"/>
      </w:tabs>
      <w:jc w:val="left"/>
    </w:pPr>
    <w:r>
      <w:rPr>
        <w:rFonts w:eastAsia="Calibri"/>
        <w:color w:val="5F6368"/>
        <w:sz w:val="17"/>
      </w:rPr>
      <w:t>MSc Cyber Security - Capstone Project</w:t>
    </w:r>
    <w:r>
      <w:rPr>
        <w:rFonts w:eastAsia="Calibri"/>
        <w:color w:val="5F6368"/>
        <w:sz w:val="17"/>
      </w:rPr>
      <w:tab/>
      <w:t>Preliminary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FE04403"/>
    <w:multiLevelType w:val="singleLevel"/>
    <w:tmpl w:val="DA6A978E"/>
    <w:lvl w:ilvl="0">
      <w:start w:val="1"/>
      <w:numFmt w:val="decimal"/>
      <w:pStyle w:val="ListBullet"/>
      <w:lvlText w:val="%1."/>
      <w:lvlJc w:val="left"/>
      <w:pPr>
        <w:tabs>
          <w:tab w:val="num" w:pos="540"/>
        </w:tabs>
        <w:spacing w:after="80" w:line="290" w:lineRule="auto"/>
        <w:ind w:left="540" w:hanging="279"/>
      </w:pPr>
    </w:lvl>
  </w:abstractNum>
  <w:abstractNum w:abstractNumId="10" w15:restartNumberingAfterBreak="0">
    <w:nsid w:val="16A14C75"/>
    <w:multiLevelType w:val="singleLevel"/>
    <w:tmpl w:val="E84A11C2"/>
    <w:lvl w:ilvl="0">
      <w:start w:val="1"/>
      <w:numFmt w:val="bullet"/>
      <w:lvlText w:val="•"/>
      <w:lvlJc w:val="left"/>
      <w:pPr>
        <w:tabs>
          <w:tab w:val="num" w:pos="540"/>
        </w:tabs>
        <w:spacing w:after="80" w:line="290" w:lineRule="auto"/>
        <w:ind w:left="540" w:hanging="279"/>
      </w:pPr>
      <w:rPr>
        <w:rFonts w:ascii="Symbol" w:hAnsi="Symbol"/>
      </w:rPr>
    </w:lvl>
  </w:abstractNum>
  <w:num w:numId="1" w16cid:durableId="159358419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14F5"/>
    <w:rsid w:val="0029639D"/>
    <w:rsid w:val="00321DEE"/>
    <w:rsid w:val="00326F90"/>
    <w:rsid w:val="00AA1D8D"/>
    <w:rsid w:val="00AB4E12"/>
    <w:rsid w:val="00B47730"/>
    <w:rsid w:val="00CB0664"/>
    <w:rsid w:val="00FC693F"/>
    <w:rsid w:val="00FC6E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6B04E"/>
  <w14:defaultImageDpi w14:val="300"/>
  <w15:docId w15:val="{2CD4F894-C9A2-424E-8C4D-871E3D7AE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00" w:line="264" w:lineRule="auto"/>
      <w:ind w:left="360" w:hanging="360"/>
    </w:pPr>
    <w:rPr>
      <w:rFonts w:ascii="Calibri" w:hAnsi="Calibri"/>
      <w:color w:val="1F2937"/>
      <w:sz w:val="19"/>
    </w:rPr>
  </w:style>
  <w:style w:type="paragraph" w:customStyle="1" w:styleId="TableText">
    <w:name w:val="Table Text"/>
    <w:pPr>
      <w:spacing w:after="0" w:line="264" w:lineRule="auto"/>
    </w:pPr>
    <w:rPr>
      <w:rFonts w:ascii="Calibri" w:hAnsi="Calibri"/>
      <w:color w:val="1F2937"/>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7006</Words>
  <Characters>39936</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Capstone Project Specification — Version 6</dc:title>
  <dc:subject>Requirements aligned to implemented PQC TLS benchmark software</dc:subject>
  <dc:creator>Ricardo Andrade Cortes</dc:creator>
  <cp:keywords>post-quantum cryptography; TLS 1.3; ML-KEM; hybrid cryptography; AI risk</cp:keywords>
  <dc:description>Version 6 aligns proposed requirements with the current repository implementation.</dc:description>
  <cp:lastModifiedBy>Cortes, Ricardo</cp:lastModifiedBy>
  <cp:revision>2</cp:revision>
  <dcterms:created xsi:type="dcterms:W3CDTF">2026-07-27T14:57:00Z</dcterms:created>
  <dcterms:modified xsi:type="dcterms:W3CDTF">2026-07-27T14:57:00Z</dcterms:modified>
  <cp:category/>
</cp:coreProperties>
</file>