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541E" w14:textId="77777777" w:rsidR="00404C63" w:rsidRPr="00E9488B" w:rsidRDefault="00000000">
      <w:pPr>
        <w:spacing w:after="160"/>
        <w:jc w:val="center"/>
        <w:rPr>
          <w:lang w:val="es-ES"/>
        </w:rPr>
      </w:pPr>
      <w:r w:rsidRPr="00E9488B">
        <w:rPr>
          <w:b/>
          <w:bCs/>
          <w:color w:val="1A4FA8"/>
          <w:sz w:val="36"/>
          <w:szCs w:val="36"/>
          <w:lang w:val="es-ES"/>
        </w:rPr>
        <w:t>TRABAJO FINAL</w:t>
      </w:r>
    </w:p>
    <w:p w14:paraId="7A64D8B0" w14:textId="77777777" w:rsidR="00404C63" w:rsidRPr="00E9488B" w:rsidRDefault="00000000">
      <w:pPr>
        <w:spacing w:after="480"/>
        <w:jc w:val="center"/>
        <w:rPr>
          <w:lang w:val="es-ES"/>
        </w:rPr>
      </w:pPr>
      <w:r w:rsidRPr="00E9488B">
        <w:rPr>
          <w:b/>
          <w:bCs/>
          <w:color w:val="333333"/>
          <w:sz w:val="30"/>
          <w:szCs w:val="30"/>
          <w:lang w:val="es-ES"/>
        </w:rPr>
        <w:t xml:space="preserve">Diseño y Creación de un </w:t>
      </w:r>
      <w:proofErr w:type="spellStart"/>
      <w:r w:rsidRPr="00E9488B">
        <w:rPr>
          <w:b/>
          <w:bCs/>
          <w:color w:val="333333"/>
          <w:sz w:val="30"/>
          <w:szCs w:val="30"/>
          <w:lang w:val="es-ES"/>
        </w:rPr>
        <w:t>Roboadvisor</w:t>
      </w:r>
      <w:proofErr w:type="spellEnd"/>
      <w:r w:rsidRPr="00E9488B">
        <w:rPr>
          <w:b/>
          <w:bCs/>
          <w:color w:val="333333"/>
          <w:sz w:val="30"/>
          <w:szCs w:val="30"/>
          <w:lang w:val="es-ES"/>
        </w:rPr>
        <w:t xml:space="preserve"> para Aplicación Financiera</w:t>
      </w:r>
    </w:p>
    <w:p w14:paraId="09D9D752" w14:textId="77777777" w:rsidR="00404C63" w:rsidRPr="00E9488B" w:rsidRDefault="00404C63">
      <w:pPr>
        <w:spacing w:after="80"/>
        <w:rPr>
          <w:lang w:val="es-ES"/>
        </w:rPr>
      </w:pPr>
    </w:p>
    <w:p w14:paraId="0526102D" w14:textId="77777777" w:rsidR="00404C63" w:rsidRPr="00E9488B" w:rsidRDefault="00000000">
      <w:pPr>
        <w:spacing w:after="80"/>
        <w:jc w:val="center"/>
        <w:rPr>
          <w:lang w:val="es-ES"/>
        </w:rPr>
      </w:pPr>
      <w:proofErr w:type="spellStart"/>
      <w:r w:rsidRPr="00E9488B">
        <w:rPr>
          <w:i/>
          <w:iCs/>
          <w:color w:val="555555"/>
          <w:sz w:val="26"/>
          <w:szCs w:val="26"/>
          <w:lang w:val="es-ES"/>
        </w:rPr>
        <w:t>CréditoML</w:t>
      </w:r>
      <w:proofErr w:type="spellEnd"/>
      <w:r w:rsidRPr="00E9488B">
        <w:rPr>
          <w:i/>
          <w:iCs/>
          <w:color w:val="555555"/>
          <w:sz w:val="26"/>
          <w:szCs w:val="26"/>
          <w:lang w:val="es-ES"/>
        </w:rPr>
        <w:t>: Sistema Automatizado de Evaluación Crediticia</w:t>
      </w:r>
    </w:p>
    <w:p w14:paraId="20474858" w14:textId="77777777" w:rsidR="00404C63" w:rsidRPr="00E9488B" w:rsidRDefault="00404C63">
      <w:pPr>
        <w:spacing w:after="80"/>
        <w:rPr>
          <w:lang w:val="es-ES"/>
        </w:rPr>
      </w:pPr>
    </w:p>
    <w:p w14:paraId="69AF2212" w14:textId="77777777" w:rsidR="00404C63" w:rsidRPr="00E9488B" w:rsidRDefault="00000000">
      <w:pPr>
        <w:spacing w:after="80"/>
        <w:jc w:val="center"/>
        <w:rPr>
          <w:lang w:val="es-ES"/>
        </w:rPr>
      </w:pPr>
      <w:r w:rsidRPr="00E9488B">
        <w:rPr>
          <w:color w:val="1A4FA8"/>
          <w:sz w:val="22"/>
          <w:szCs w:val="22"/>
          <w:lang w:val="es-ES"/>
        </w:rPr>
        <w:t>Disponible en: https://roboadvisor-fintech.vercel.app</w:t>
      </w:r>
    </w:p>
    <w:p w14:paraId="7EBAFF07" w14:textId="77777777" w:rsidR="00404C63" w:rsidRPr="00E9488B" w:rsidRDefault="00404C63">
      <w:pPr>
        <w:spacing w:after="80"/>
        <w:rPr>
          <w:lang w:val="es-ES"/>
        </w:rPr>
      </w:pPr>
    </w:p>
    <w:p w14:paraId="66D69E5C" w14:textId="77777777" w:rsidR="00404C63" w:rsidRPr="00E9488B" w:rsidRDefault="00000000">
      <w:pPr>
        <w:spacing w:after="40"/>
        <w:jc w:val="center"/>
        <w:rPr>
          <w:lang w:val="es-ES"/>
        </w:rPr>
      </w:pPr>
      <w:r w:rsidRPr="00E9488B">
        <w:rPr>
          <w:color w:val="888888"/>
          <w:sz w:val="22"/>
          <w:szCs w:val="22"/>
          <w:lang w:val="es-ES"/>
        </w:rPr>
        <w:t>Roberto Cossich</w:t>
      </w:r>
    </w:p>
    <w:p w14:paraId="52862223" w14:textId="77777777" w:rsidR="00404C63" w:rsidRPr="00E9488B" w:rsidRDefault="00000000">
      <w:pPr>
        <w:spacing w:after="480"/>
        <w:jc w:val="center"/>
        <w:rPr>
          <w:lang w:val="es-ES"/>
        </w:rPr>
      </w:pPr>
      <w:r w:rsidRPr="00E9488B">
        <w:rPr>
          <w:color w:val="888888"/>
          <w:sz w:val="22"/>
          <w:szCs w:val="22"/>
          <w:lang w:val="es-ES"/>
        </w:rPr>
        <w:t>Mayo 2026</w:t>
      </w:r>
    </w:p>
    <w:p w14:paraId="7ED87612" w14:textId="77777777" w:rsidR="00404C63" w:rsidRPr="00E9488B" w:rsidRDefault="00404C63">
      <w:pPr>
        <w:spacing w:after="80"/>
        <w:rPr>
          <w:lang w:val="es-ES"/>
        </w:rPr>
      </w:pPr>
    </w:p>
    <w:p w14:paraId="51369D2E" w14:textId="77777777" w:rsidR="00404C63" w:rsidRPr="00E9488B" w:rsidRDefault="00000000">
      <w:pPr>
        <w:pStyle w:val="Heading1"/>
        <w:rPr>
          <w:lang w:val="es-ES"/>
        </w:rPr>
      </w:pPr>
      <w:r w:rsidRPr="00E9488B">
        <w:rPr>
          <w:lang w:val="es-ES"/>
        </w:rPr>
        <w:t>1. Descripción del problema financiero</w:t>
      </w:r>
    </w:p>
    <w:p w14:paraId="3738C54E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>La evaluación crediticia constituye uno de los desafíos centrales de la industria financiera. Las instituciones de crédito deben determinar, con precisión y rapidez, si un solicitante representa un riesgo aceptable antes de otorgar un préstamo. Tradicionalmente, este proceso involucra analistas humanos que revisan manualmente variables financieras y demográficas, lo que implica costos elevados, tiempos de respuesta lentos y potencial inconsistencia en los criterios de decisión.</w:t>
      </w:r>
    </w:p>
    <w:p w14:paraId="17F601C7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 xml:space="preserve">Los </w:t>
      </w:r>
      <w:proofErr w:type="spellStart"/>
      <w:r w:rsidRPr="00E9488B">
        <w:rPr>
          <w:color w:val="000000"/>
          <w:lang w:val="es-ES"/>
        </w:rPr>
        <w:t>roboadvisors</w:t>
      </w:r>
      <w:proofErr w:type="spellEnd"/>
      <w:r w:rsidRPr="00E9488B">
        <w:rPr>
          <w:color w:val="000000"/>
          <w:lang w:val="es-ES"/>
        </w:rPr>
        <w:t xml:space="preserve"> aplicados al crédito buscan resolver este problema mediante la automatización de la decisión: dado un conjunto de características del solicitante, el sistema genera una recomendación objetiva y reproducible de aprobar o rechazar la solicitud, junto con la probabilidad asociada a cada resultado.</w:t>
      </w:r>
    </w:p>
    <w:p w14:paraId="53AEEADC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 xml:space="preserve">El presente trabajo implementa </w:t>
      </w:r>
      <w:proofErr w:type="spellStart"/>
      <w:r w:rsidRPr="00E9488B">
        <w:rPr>
          <w:b/>
          <w:bCs/>
          <w:color w:val="000000"/>
          <w:lang w:val="es-ES"/>
        </w:rPr>
        <w:t>CréditoML</w:t>
      </w:r>
      <w:proofErr w:type="spellEnd"/>
      <w:r w:rsidRPr="00E9488B">
        <w:rPr>
          <w:color w:val="000000"/>
          <w:lang w:val="es-ES"/>
        </w:rPr>
        <w:t xml:space="preserve">, un </w:t>
      </w:r>
      <w:proofErr w:type="spellStart"/>
      <w:r w:rsidRPr="00E9488B">
        <w:rPr>
          <w:color w:val="000000"/>
          <w:lang w:val="es-ES"/>
        </w:rPr>
        <w:t>roboadvisor</w:t>
      </w:r>
      <w:proofErr w:type="spellEnd"/>
      <w:r w:rsidRPr="00E9488B">
        <w:rPr>
          <w:color w:val="000000"/>
          <w:lang w:val="es-ES"/>
        </w:rPr>
        <w:t xml:space="preserve"> crediticio que utiliza el algoritmo </w:t>
      </w:r>
      <w:r w:rsidRPr="00E9488B">
        <w:rPr>
          <w:i/>
          <w:iCs/>
          <w:color w:val="000000"/>
          <w:lang w:val="es-ES"/>
        </w:rPr>
        <w:t>Random Forest</w:t>
      </w:r>
      <w:r w:rsidRPr="00E9488B">
        <w:rPr>
          <w:color w:val="000000"/>
          <w:lang w:val="es-ES"/>
        </w:rPr>
        <w:t xml:space="preserve"> para clasificar solicitantes como buen riesgo (aprobado) o mal riesgo (rechazado), entrenado sobre datos históricos reales de 1.000 solicitantes alemanes.</w:t>
      </w:r>
    </w:p>
    <w:p w14:paraId="7874E345" w14:textId="77777777" w:rsidR="00404C63" w:rsidRPr="00E9488B" w:rsidRDefault="00000000">
      <w:pPr>
        <w:pStyle w:val="Heading1"/>
        <w:rPr>
          <w:lang w:val="es-ES"/>
        </w:rPr>
      </w:pPr>
      <w:r w:rsidRPr="00E9488B">
        <w:rPr>
          <w:lang w:val="es-ES"/>
        </w:rPr>
        <w:t xml:space="preserve">2. Funcionamiento del </w:t>
      </w:r>
      <w:proofErr w:type="spellStart"/>
      <w:r w:rsidRPr="00E9488B">
        <w:rPr>
          <w:lang w:val="es-ES"/>
        </w:rPr>
        <w:t>roboadvisor</w:t>
      </w:r>
      <w:proofErr w:type="spellEnd"/>
    </w:p>
    <w:p w14:paraId="373FB6BE" w14:textId="77777777" w:rsidR="00404C63" w:rsidRPr="00E9488B" w:rsidRDefault="00000000">
      <w:pPr>
        <w:spacing w:after="160"/>
        <w:jc w:val="both"/>
        <w:rPr>
          <w:lang w:val="es-ES"/>
        </w:rPr>
      </w:pPr>
      <w:proofErr w:type="spellStart"/>
      <w:r w:rsidRPr="00E9488B">
        <w:rPr>
          <w:color w:val="000000"/>
          <w:lang w:val="es-ES"/>
        </w:rPr>
        <w:t>CréditoML</w:t>
      </w:r>
      <w:proofErr w:type="spellEnd"/>
      <w:r w:rsidRPr="00E9488B">
        <w:rPr>
          <w:color w:val="000000"/>
          <w:lang w:val="es-ES"/>
        </w:rPr>
        <w:t xml:space="preserve"> opera a través de dos módulos principales accesibles mediante una interfaz web interactiva:</w:t>
      </w:r>
    </w:p>
    <w:p w14:paraId="2252676C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b/>
          <w:bCs/>
          <w:color w:val="000000"/>
          <w:lang w:val="es-ES"/>
        </w:rPr>
        <w:t xml:space="preserve">Módulo de entrenamiento: </w:t>
      </w:r>
      <w:r w:rsidRPr="00E9488B">
        <w:rPr>
          <w:color w:val="000000"/>
          <w:lang w:val="es-ES"/>
        </w:rPr>
        <w:t>Al iniciar la sesión, el usuario activa el entrenamiento del modelo. El sistema descarga automáticamente el dataset German Credit desde el repositorio UCI, realiza el preprocesamiento, entrena el clasificador Random Forest y despliega las métricas de desempeño, incluyendo exactitud, AUC-ROC y la matriz de confusión.</w:t>
      </w:r>
    </w:p>
    <w:p w14:paraId="4E567040" w14:textId="77777777" w:rsidR="00404C63" w:rsidRPr="00E9488B" w:rsidRDefault="00404C63">
      <w:pPr>
        <w:spacing w:after="80"/>
        <w:rPr>
          <w:lang w:val="es-ES"/>
        </w:rPr>
      </w:pPr>
    </w:p>
    <w:p w14:paraId="651D352B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b/>
          <w:bCs/>
          <w:color w:val="000000"/>
          <w:lang w:val="es-ES"/>
        </w:rPr>
        <w:lastRenderedPageBreak/>
        <w:t xml:space="preserve">Módulo de predicción: </w:t>
      </w:r>
      <w:r w:rsidRPr="00E9488B">
        <w:rPr>
          <w:color w:val="000000"/>
          <w:lang w:val="es-ES"/>
        </w:rPr>
        <w:t>El evaluador ingresa las 20 variables del solicitante (financieras, demográficas y de comportamiento) a través de un formulario estructurado. El modelo procesa los datos en tiempo real y entrega la decisión (APROBADO / RECHAZADO), la probabilidad asociada y los cinco factores más influyentes en la decisión.</w:t>
      </w:r>
    </w:p>
    <w:p w14:paraId="2C8D9E5F" w14:textId="77777777" w:rsidR="00404C63" w:rsidRPr="00E9488B" w:rsidRDefault="00404C63">
      <w:pPr>
        <w:spacing w:after="80"/>
        <w:rPr>
          <w:lang w:val="es-ES"/>
        </w:rPr>
      </w:pPr>
    </w:p>
    <w:p w14:paraId="50015DA1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b/>
          <w:bCs/>
          <w:color w:val="000000"/>
          <w:lang w:val="es-ES"/>
        </w:rPr>
        <w:t xml:space="preserve">Módulo de experimentos: </w:t>
      </w:r>
      <w:r w:rsidRPr="00E9488B">
        <w:rPr>
          <w:color w:val="000000"/>
          <w:lang w:val="es-ES"/>
        </w:rPr>
        <w:t>Permite ajustar los cuatro parámetros principales del modelo (</w:t>
      </w:r>
      <w:proofErr w:type="spellStart"/>
      <w:r w:rsidRPr="00E9488B">
        <w:rPr>
          <w:color w:val="000000"/>
          <w:lang w:val="es-ES"/>
        </w:rPr>
        <w:t>n_estimators</w:t>
      </w:r>
      <w:proofErr w:type="spellEnd"/>
      <w:r w:rsidRPr="00E9488B">
        <w:rPr>
          <w:color w:val="000000"/>
          <w:lang w:val="es-ES"/>
        </w:rPr>
        <w:t xml:space="preserve">, </w:t>
      </w:r>
      <w:proofErr w:type="spellStart"/>
      <w:r w:rsidRPr="00E9488B">
        <w:rPr>
          <w:color w:val="000000"/>
          <w:lang w:val="es-ES"/>
        </w:rPr>
        <w:t>max_depth</w:t>
      </w:r>
      <w:proofErr w:type="spellEnd"/>
      <w:r w:rsidRPr="00E9488B">
        <w:rPr>
          <w:color w:val="000000"/>
          <w:lang w:val="es-ES"/>
        </w:rPr>
        <w:t xml:space="preserve">, </w:t>
      </w:r>
      <w:proofErr w:type="spellStart"/>
      <w:r w:rsidRPr="00E9488B">
        <w:rPr>
          <w:color w:val="000000"/>
          <w:lang w:val="es-ES"/>
        </w:rPr>
        <w:t>test_size</w:t>
      </w:r>
      <w:proofErr w:type="spellEnd"/>
      <w:r w:rsidRPr="00E9488B">
        <w:rPr>
          <w:color w:val="000000"/>
          <w:lang w:val="es-ES"/>
        </w:rPr>
        <w:t xml:space="preserve">, </w:t>
      </w:r>
      <w:proofErr w:type="spellStart"/>
      <w:r w:rsidRPr="00E9488B">
        <w:rPr>
          <w:color w:val="000000"/>
          <w:lang w:val="es-ES"/>
        </w:rPr>
        <w:t>class_weight</w:t>
      </w:r>
      <w:proofErr w:type="spellEnd"/>
      <w:r w:rsidRPr="00E9488B">
        <w:rPr>
          <w:color w:val="000000"/>
          <w:lang w:val="es-ES"/>
        </w:rPr>
        <w:t>) con visualización en tiempo real de curvas de aprendizaje y ROC, más comparación automática contra otros algoritmos al entrenar.</w:t>
      </w:r>
    </w:p>
    <w:p w14:paraId="5F71CF64" w14:textId="77777777" w:rsidR="00404C63" w:rsidRPr="00E9488B" w:rsidRDefault="00404C63">
      <w:pPr>
        <w:spacing w:after="80"/>
        <w:rPr>
          <w:lang w:val="es-ES"/>
        </w:rPr>
      </w:pPr>
    </w:p>
    <w:p w14:paraId="2C2E0A5E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 xml:space="preserve">El flujo completo opera sin base de datos persistente: el modelo se serializa en memoria durante la sesión mediante </w:t>
      </w:r>
      <w:proofErr w:type="spellStart"/>
      <w:r w:rsidRPr="00E9488B">
        <w:rPr>
          <w:color w:val="000000"/>
          <w:lang w:val="es-ES"/>
        </w:rPr>
        <w:t>pickle</w:t>
      </w:r>
      <w:proofErr w:type="spellEnd"/>
      <w:r w:rsidRPr="00E9488B">
        <w:rPr>
          <w:color w:val="000000"/>
          <w:lang w:val="es-ES"/>
        </w:rPr>
        <w:t xml:space="preserve"> y base64, eliminando costos de infraestructura y garantizando privacidad de los datos ingresados.</w:t>
      </w:r>
    </w:p>
    <w:p w14:paraId="7D508638" w14:textId="77777777" w:rsidR="00404C63" w:rsidRPr="00E9488B" w:rsidRDefault="00000000">
      <w:pPr>
        <w:pStyle w:val="Heading1"/>
        <w:rPr>
          <w:lang w:val="es-ES"/>
        </w:rPr>
      </w:pPr>
      <w:r w:rsidRPr="00E9488B">
        <w:rPr>
          <w:lang w:val="es-ES"/>
        </w:rPr>
        <w:t>3. Datos y variables utilizadas</w:t>
      </w:r>
    </w:p>
    <w:p w14:paraId="153A1CE4" w14:textId="77777777" w:rsidR="00404C63" w:rsidRPr="00E9488B" w:rsidRDefault="00000000">
      <w:pPr>
        <w:pStyle w:val="Heading2"/>
        <w:rPr>
          <w:lang w:val="es-ES"/>
        </w:rPr>
      </w:pPr>
      <w:r w:rsidRPr="00E9488B">
        <w:rPr>
          <w:lang w:val="es-ES"/>
        </w:rPr>
        <w:t>3.1 Dataset</w:t>
      </w:r>
    </w:p>
    <w:p w14:paraId="717304C2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 xml:space="preserve">Se utiliza el dataset </w:t>
      </w:r>
      <w:proofErr w:type="spellStart"/>
      <w:r w:rsidRPr="00E9488B">
        <w:rPr>
          <w:color w:val="000000"/>
          <w:lang w:val="es-ES"/>
        </w:rPr>
        <w:t>Statlog</w:t>
      </w:r>
      <w:proofErr w:type="spellEnd"/>
      <w:r w:rsidRPr="00E9488B">
        <w:rPr>
          <w:color w:val="000000"/>
          <w:lang w:val="es-ES"/>
        </w:rPr>
        <w:t xml:space="preserve"> (German Credit Data), publicado por H. Hofmann de la Universidad de Hamburg en 1994 y disponible en el UCI Machine </w:t>
      </w:r>
      <w:proofErr w:type="spellStart"/>
      <w:r w:rsidRPr="00E9488B">
        <w:rPr>
          <w:color w:val="000000"/>
          <w:lang w:val="es-ES"/>
        </w:rPr>
        <w:t>Learning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Repository</w:t>
      </w:r>
      <w:proofErr w:type="spellEnd"/>
      <w:r w:rsidRPr="00E9488B">
        <w:rPr>
          <w:color w:val="000000"/>
          <w:lang w:val="es-ES"/>
        </w:rPr>
        <w:t xml:space="preserve"> bajo licencia Creative Commons CC BY 4.0. Este conjunto de datos es uno de los </w:t>
      </w:r>
      <w:proofErr w:type="spellStart"/>
      <w:r w:rsidRPr="00E9488B">
        <w:rPr>
          <w:color w:val="000000"/>
          <w:lang w:val="es-ES"/>
        </w:rPr>
        <w:t>benchmarks</w:t>
      </w:r>
      <w:proofErr w:type="spellEnd"/>
      <w:r w:rsidRPr="00E9488B">
        <w:rPr>
          <w:color w:val="000000"/>
          <w:lang w:val="es-ES"/>
        </w:rPr>
        <w:t xml:space="preserve"> más citados en la literatura de </w:t>
      </w:r>
      <w:proofErr w:type="spellStart"/>
      <w:r w:rsidRPr="00E9488B">
        <w:rPr>
          <w:color w:val="000000"/>
          <w:lang w:val="es-ES"/>
        </w:rPr>
        <w:t>scoring</w:t>
      </w:r>
      <w:proofErr w:type="spellEnd"/>
      <w:r w:rsidRPr="00E9488B">
        <w:rPr>
          <w:color w:val="000000"/>
          <w:lang w:val="es-ES"/>
        </w:rPr>
        <w:t xml:space="preserve"> crediticio (Lichman, 2013).</w:t>
      </w:r>
    </w:p>
    <w:p w14:paraId="648A6D93" w14:textId="77777777" w:rsidR="00404C63" w:rsidRPr="00E9488B" w:rsidRDefault="00404C63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04C63" w:rsidRPr="00E9488B" w14:paraId="5EA6D9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A4FA8"/>
              <w:left w:val="single" w:sz="4" w:space="0" w:color="1A4FA8"/>
              <w:bottom w:val="single" w:sz="4" w:space="0" w:color="1A4FA8"/>
              <w:right w:val="single" w:sz="4" w:space="0" w:color="1A4FA8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9E35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b/>
                <w:bCs/>
                <w:color w:val="FFFFFF"/>
                <w:sz w:val="22"/>
                <w:szCs w:val="22"/>
                <w:lang w:val="es-ES"/>
              </w:rPr>
              <w:t>Característica</w:t>
            </w:r>
          </w:p>
        </w:tc>
        <w:tc>
          <w:tcPr>
            <w:tcW w:w="6360" w:type="dxa"/>
            <w:tcBorders>
              <w:top w:val="single" w:sz="4" w:space="0" w:color="1A4FA8"/>
              <w:left w:val="single" w:sz="4" w:space="0" w:color="1A4FA8"/>
              <w:bottom w:val="single" w:sz="4" w:space="0" w:color="1A4FA8"/>
              <w:right w:val="single" w:sz="4" w:space="0" w:color="1A4FA8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301F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b/>
                <w:bCs/>
                <w:color w:val="FFFFFF"/>
                <w:sz w:val="22"/>
                <w:szCs w:val="22"/>
                <w:lang w:val="es-ES"/>
              </w:rPr>
              <w:t>Detalle</w:t>
            </w:r>
          </w:p>
        </w:tc>
      </w:tr>
      <w:tr w:rsidR="00404C63" w:rsidRPr="00E9488B" w14:paraId="1B061B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7024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Fuente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DE6F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 xml:space="preserve">UCI Machine </w:t>
            </w:r>
            <w:proofErr w:type="spellStart"/>
            <w:r w:rsidRPr="00E9488B">
              <w:rPr>
                <w:color w:val="000000"/>
                <w:sz w:val="22"/>
                <w:szCs w:val="22"/>
                <w:lang w:val="es-ES"/>
              </w:rPr>
              <w:t>Learning</w:t>
            </w:r>
            <w:proofErr w:type="spellEnd"/>
            <w:r w:rsidRPr="00E9488B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E9488B">
              <w:rPr>
                <w:color w:val="000000"/>
                <w:sz w:val="22"/>
                <w:szCs w:val="22"/>
                <w:lang w:val="es-ES"/>
              </w:rPr>
              <w:t>Repository</w:t>
            </w:r>
            <w:proofErr w:type="spellEnd"/>
          </w:p>
        </w:tc>
      </w:tr>
      <w:tr w:rsidR="00404C63" w:rsidRPr="00E9488B" w14:paraId="2312D4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A270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Autor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9196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H. Hofmann, Universidad de Hamburg (1994)</w:t>
            </w:r>
          </w:p>
        </w:tc>
      </w:tr>
      <w:tr w:rsidR="00404C63" w:rsidRPr="00E9488B" w14:paraId="38C9B0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3926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Registros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2B38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1.000 solicitantes de crédito</w:t>
            </w:r>
          </w:p>
        </w:tc>
      </w:tr>
      <w:tr w:rsidR="00404C63" w:rsidRPr="00E9488B" w14:paraId="7E49DC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D2B2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Variables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CCD6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20 variables independientes + 1 variable objetivo</w:t>
            </w:r>
          </w:p>
        </w:tc>
      </w:tr>
      <w:tr w:rsidR="00404C63" w:rsidRPr="00E9488B" w14:paraId="07703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3A84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Licencia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BC30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Creative Commons CC BY 4.0</w:t>
            </w:r>
          </w:p>
        </w:tc>
      </w:tr>
      <w:tr w:rsidR="00404C63" w:rsidRPr="00E9488B" w14:paraId="4AB84E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C9E2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Distribución clases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D72A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700 buen riesgo (70%) / 300 mal riesgo (30%)</w:t>
            </w:r>
          </w:p>
        </w:tc>
      </w:tr>
    </w:tbl>
    <w:p w14:paraId="1B9678B4" w14:textId="77777777" w:rsidR="00404C63" w:rsidRPr="00E9488B" w:rsidRDefault="00404C63">
      <w:pPr>
        <w:spacing w:after="80"/>
        <w:rPr>
          <w:lang w:val="es-ES"/>
        </w:rPr>
      </w:pPr>
    </w:p>
    <w:p w14:paraId="76A1452A" w14:textId="77777777" w:rsidR="00404C63" w:rsidRPr="00E9488B" w:rsidRDefault="00000000">
      <w:pPr>
        <w:pStyle w:val="Heading2"/>
        <w:rPr>
          <w:lang w:val="es-ES"/>
        </w:rPr>
      </w:pPr>
      <w:r w:rsidRPr="00E9488B">
        <w:rPr>
          <w:lang w:val="es-ES"/>
        </w:rPr>
        <w:t>3.2 Variables del modelo</w:t>
      </w:r>
    </w:p>
    <w:p w14:paraId="23E749CE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>Las 20 variables incluyen información financiera (estado cuenta corriente, monto del crédito, cuenta de ahorro, historial crediticio, otros planes de cuotas), información demográfica (edad, estado civil, número de dependientes, nacionalidad) y condiciones del crédito (duración en meses, propósito, tasa de cuota como porcentaje del ingreso).</w:t>
      </w:r>
    </w:p>
    <w:p w14:paraId="7B072CBD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>La variable objetivo fue recodificada binariamente: clase 1 del dataset original (buen riesgo) corresponde a APROBADO, y clase 2 (mal riesgo) corresponde a RECHAZADO.</w:t>
      </w:r>
    </w:p>
    <w:p w14:paraId="5D4C44BF" w14:textId="77777777" w:rsidR="00404C63" w:rsidRPr="00E9488B" w:rsidRDefault="00000000">
      <w:pPr>
        <w:pStyle w:val="Heading1"/>
        <w:rPr>
          <w:lang w:val="es-ES"/>
        </w:rPr>
      </w:pPr>
      <w:r w:rsidRPr="00E9488B">
        <w:rPr>
          <w:lang w:val="es-ES"/>
        </w:rPr>
        <w:lastRenderedPageBreak/>
        <w:t>4. Modelo y algoritmo aplicado</w:t>
      </w:r>
    </w:p>
    <w:p w14:paraId="51F6376A" w14:textId="77777777" w:rsidR="00404C63" w:rsidRPr="00E9488B" w:rsidRDefault="00000000">
      <w:pPr>
        <w:pStyle w:val="Heading2"/>
        <w:rPr>
          <w:lang w:val="es-ES"/>
        </w:rPr>
      </w:pPr>
      <w:r w:rsidRPr="00E9488B">
        <w:rPr>
          <w:lang w:val="es-ES"/>
        </w:rPr>
        <w:t>4.1 Selección del algoritmo: Random Forest</w:t>
      </w:r>
    </w:p>
    <w:p w14:paraId="6DB8CA27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>Se seleccionó el algoritmo Random Forest (</w:t>
      </w:r>
      <w:proofErr w:type="spellStart"/>
      <w:r w:rsidRPr="00E9488B">
        <w:rPr>
          <w:color w:val="000000"/>
          <w:lang w:val="es-ES"/>
        </w:rPr>
        <w:t>Breiman</w:t>
      </w:r>
      <w:proofErr w:type="spellEnd"/>
      <w:r w:rsidRPr="00E9488B">
        <w:rPr>
          <w:color w:val="000000"/>
          <w:lang w:val="es-ES"/>
        </w:rPr>
        <w:t xml:space="preserve">, 2001) por tres razones fundamentales. Primero, su robustez ante variables categóricas y numerosas, que caracteriza al dataset German Credit. Segundo, su capacidad de manejar desbalance de clases mediante el parámetro </w:t>
      </w:r>
      <w:proofErr w:type="spellStart"/>
      <w:r w:rsidRPr="00E9488B">
        <w:rPr>
          <w:color w:val="000000"/>
          <w:lang w:val="es-ES"/>
        </w:rPr>
        <w:t>class_weight</w:t>
      </w:r>
      <w:proofErr w:type="spellEnd"/>
      <w:r w:rsidRPr="00E9488B">
        <w:rPr>
          <w:color w:val="000000"/>
          <w:lang w:val="es-ES"/>
        </w:rPr>
        <w:t>="</w:t>
      </w:r>
      <w:proofErr w:type="spellStart"/>
      <w:r w:rsidRPr="00E9488B">
        <w:rPr>
          <w:color w:val="000000"/>
          <w:lang w:val="es-ES"/>
        </w:rPr>
        <w:t>balanced</w:t>
      </w:r>
      <w:proofErr w:type="spellEnd"/>
      <w:r w:rsidRPr="00E9488B">
        <w:rPr>
          <w:color w:val="000000"/>
          <w:lang w:val="es-ES"/>
        </w:rPr>
        <w:t>", lo cual es crítico dado que los casos de mal riesgo representan solo el 30% del dataset. Tercero, la interpretabilidad de su output de importancia de variables, que permite explicar la decisión al solicitante y cumplir con requerimientos regulatorios de transparencia.</w:t>
      </w:r>
    </w:p>
    <w:p w14:paraId="6530228B" w14:textId="77777777" w:rsidR="00404C63" w:rsidRPr="00E9488B" w:rsidRDefault="00000000">
      <w:pPr>
        <w:pStyle w:val="Heading2"/>
        <w:rPr>
          <w:lang w:val="es-ES"/>
        </w:rPr>
      </w:pPr>
      <w:r w:rsidRPr="00E9488B">
        <w:rPr>
          <w:lang w:val="es-ES"/>
        </w:rPr>
        <w:t>4.2 Parámetros del modelo</w:t>
      </w:r>
    </w:p>
    <w:p w14:paraId="02AA0963" w14:textId="77777777" w:rsidR="00404C63" w:rsidRPr="00E9488B" w:rsidRDefault="00404C63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404C63" w:rsidRPr="00E9488B" w14:paraId="5C7DF6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A4FA8"/>
              <w:left w:val="single" w:sz="4" w:space="0" w:color="1A4FA8"/>
              <w:bottom w:val="single" w:sz="4" w:space="0" w:color="1A4FA8"/>
              <w:right w:val="single" w:sz="4" w:space="0" w:color="1A4FA8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DB1A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b/>
                <w:bCs/>
                <w:color w:val="FFFFFF"/>
                <w:sz w:val="22"/>
                <w:szCs w:val="22"/>
                <w:lang w:val="es-ES"/>
              </w:rPr>
              <w:t>Parámetro</w:t>
            </w:r>
          </w:p>
        </w:tc>
        <w:tc>
          <w:tcPr>
            <w:tcW w:w="1600" w:type="dxa"/>
            <w:tcBorders>
              <w:top w:val="single" w:sz="4" w:space="0" w:color="1A4FA8"/>
              <w:left w:val="single" w:sz="4" w:space="0" w:color="1A4FA8"/>
              <w:bottom w:val="single" w:sz="4" w:space="0" w:color="1A4FA8"/>
              <w:right w:val="single" w:sz="4" w:space="0" w:color="1A4FA8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60DE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b/>
                <w:bCs/>
                <w:color w:val="FFFFFF"/>
                <w:sz w:val="22"/>
                <w:szCs w:val="22"/>
                <w:lang w:val="es-ES"/>
              </w:rPr>
              <w:t>Valor elegido</w:t>
            </w:r>
          </w:p>
        </w:tc>
        <w:tc>
          <w:tcPr>
            <w:tcW w:w="5360" w:type="dxa"/>
            <w:tcBorders>
              <w:top w:val="single" w:sz="4" w:space="0" w:color="1A4FA8"/>
              <w:left w:val="single" w:sz="4" w:space="0" w:color="1A4FA8"/>
              <w:bottom w:val="single" w:sz="4" w:space="0" w:color="1A4FA8"/>
              <w:right w:val="single" w:sz="4" w:space="0" w:color="1A4FA8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0F1F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b/>
                <w:bCs/>
                <w:color w:val="FFFFFF"/>
                <w:sz w:val="22"/>
                <w:szCs w:val="22"/>
                <w:lang w:val="es-ES"/>
              </w:rPr>
              <w:t>Justificación</w:t>
            </w:r>
          </w:p>
        </w:tc>
      </w:tr>
      <w:tr w:rsidR="00404C63" w:rsidRPr="00E9488B" w14:paraId="099F5F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79BE" w14:textId="77777777" w:rsidR="00404C63" w:rsidRPr="00E9488B" w:rsidRDefault="00000000">
            <w:pPr>
              <w:rPr>
                <w:lang w:val="es-ES"/>
              </w:rPr>
            </w:pPr>
            <w:proofErr w:type="spellStart"/>
            <w:r w:rsidRPr="00E9488B">
              <w:rPr>
                <w:color w:val="000000"/>
                <w:sz w:val="22"/>
                <w:szCs w:val="22"/>
                <w:lang w:val="es-ES"/>
              </w:rPr>
              <w:t>n_estimators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690F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100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21AB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Balance entre precisión y velocidad de entrenamiento</w:t>
            </w:r>
          </w:p>
        </w:tc>
      </w:tr>
      <w:tr w:rsidR="00404C63" w:rsidRPr="00E9488B" w14:paraId="1B3F21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14BE" w14:textId="77777777" w:rsidR="00404C63" w:rsidRPr="00E9488B" w:rsidRDefault="00000000">
            <w:pPr>
              <w:rPr>
                <w:lang w:val="es-ES"/>
              </w:rPr>
            </w:pPr>
            <w:proofErr w:type="spellStart"/>
            <w:r w:rsidRPr="00E9488B">
              <w:rPr>
                <w:color w:val="000000"/>
                <w:sz w:val="22"/>
                <w:szCs w:val="22"/>
                <w:lang w:val="es-ES"/>
              </w:rPr>
              <w:t>max_depth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9596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9028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Evita sobreajuste (</w:t>
            </w:r>
            <w:proofErr w:type="spellStart"/>
            <w:r w:rsidRPr="00E9488B">
              <w:rPr>
                <w:color w:val="000000"/>
                <w:sz w:val="22"/>
                <w:szCs w:val="22"/>
                <w:lang w:val="es-ES"/>
              </w:rPr>
              <w:t>overfitting</w:t>
            </w:r>
            <w:proofErr w:type="spellEnd"/>
            <w:r w:rsidRPr="00E9488B">
              <w:rPr>
                <w:color w:val="000000"/>
                <w:sz w:val="22"/>
                <w:szCs w:val="22"/>
                <w:lang w:val="es-ES"/>
              </w:rPr>
              <w:t>)</w:t>
            </w:r>
          </w:p>
        </w:tc>
      </w:tr>
      <w:tr w:rsidR="00404C63" w:rsidRPr="00E9488B" w14:paraId="7C7368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6257" w14:textId="77777777" w:rsidR="00404C63" w:rsidRPr="00E9488B" w:rsidRDefault="00000000">
            <w:pPr>
              <w:rPr>
                <w:lang w:val="es-ES"/>
              </w:rPr>
            </w:pPr>
            <w:proofErr w:type="spellStart"/>
            <w:r w:rsidRPr="00E9488B">
              <w:rPr>
                <w:color w:val="000000"/>
                <w:sz w:val="22"/>
                <w:szCs w:val="22"/>
                <w:lang w:val="es-ES"/>
              </w:rPr>
              <w:t>min_samples_split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80BE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CA65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Regularización adicional</w:t>
            </w:r>
          </w:p>
        </w:tc>
      </w:tr>
      <w:tr w:rsidR="00404C63" w:rsidRPr="00E9488B" w14:paraId="72C0CF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87BF" w14:textId="77777777" w:rsidR="00404C63" w:rsidRPr="00E9488B" w:rsidRDefault="00000000">
            <w:pPr>
              <w:rPr>
                <w:lang w:val="es-ES"/>
              </w:rPr>
            </w:pPr>
            <w:proofErr w:type="spellStart"/>
            <w:r w:rsidRPr="00E9488B">
              <w:rPr>
                <w:color w:val="000000"/>
                <w:sz w:val="22"/>
                <w:szCs w:val="22"/>
                <w:lang w:val="es-ES"/>
              </w:rPr>
              <w:t>class_weight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9B02" w14:textId="77777777" w:rsidR="00404C63" w:rsidRPr="00E9488B" w:rsidRDefault="00000000">
            <w:pPr>
              <w:rPr>
                <w:lang w:val="es-ES"/>
              </w:rPr>
            </w:pPr>
            <w:proofErr w:type="spellStart"/>
            <w:r w:rsidRPr="00E9488B">
              <w:rPr>
                <w:color w:val="000000"/>
                <w:sz w:val="22"/>
                <w:szCs w:val="22"/>
                <w:lang w:val="es-ES"/>
              </w:rPr>
              <w:t>balanced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4F80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Compensa desbalance 70/30 en clases</w:t>
            </w:r>
          </w:p>
        </w:tc>
      </w:tr>
      <w:tr w:rsidR="00404C63" w:rsidRPr="00E9488B" w14:paraId="56F0E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C843" w14:textId="77777777" w:rsidR="00404C63" w:rsidRPr="00E9488B" w:rsidRDefault="00000000">
            <w:pPr>
              <w:rPr>
                <w:lang w:val="es-ES"/>
              </w:rPr>
            </w:pPr>
            <w:proofErr w:type="spellStart"/>
            <w:r w:rsidRPr="00E9488B">
              <w:rPr>
                <w:color w:val="000000"/>
                <w:sz w:val="22"/>
                <w:szCs w:val="22"/>
                <w:lang w:val="es-ES"/>
              </w:rPr>
              <w:t>random_state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A880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42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2180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Reproducibilidad de resultados</w:t>
            </w:r>
          </w:p>
        </w:tc>
      </w:tr>
      <w:tr w:rsidR="00404C63" w:rsidRPr="00E9488B" w14:paraId="6418B2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5524" w14:textId="77777777" w:rsidR="00404C63" w:rsidRPr="00E9488B" w:rsidRDefault="00000000">
            <w:pPr>
              <w:rPr>
                <w:lang w:val="es-ES"/>
              </w:rPr>
            </w:pPr>
            <w:proofErr w:type="spellStart"/>
            <w:r w:rsidRPr="00E9488B">
              <w:rPr>
                <w:color w:val="000000"/>
                <w:sz w:val="22"/>
                <w:szCs w:val="22"/>
                <w:lang w:val="es-ES"/>
              </w:rPr>
              <w:t>test_size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43BC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20% (200 casos)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4E4D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 xml:space="preserve">Evaluación </w:t>
            </w:r>
            <w:proofErr w:type="spellStart"/>
            <w:r w:rsidRPr="00E9488B">
              <w:rPr>
                <w:color w:val="000000"/>
                <w:sz w:val="22"/>
                <w:szCs w:val="22"/>
                <w:lang w:val="es-ES"/>
              </w:rPr>
              <w:t>out-of-sample</w:t>
            </w:r>
            <w:proofErr w:type="spellEnd"/>
            <w:r w:rsidRPr="00E9488B">
              <w:rPr>
                <w:color w:val="000000"/>
                <w:sz w:val="22"/>
                <w:szCs w:val="22"/>
                <w:lang w:val="es-ES"/>
              </w:rPr>
              <w:t xml:space="preserve"> estándar</w:t>
            </w:r>
          </w:p>
        </w:tc>
      </w:tr>
    </w:tbl>
    <w:p w14:paraId="22979E01" w14:textId="77777777" w:rsidR="00404C63" w:rsidRPr="00E9488B" w:rsidRDefault="00404C63">
      <w:pPr>
        <w:spacing w:after="80"/>
        <w:rPr>
          <w:lang w:val="es-ES"/>
        </w:rPr>
      </w:pPr>
    </w:p>
    <w:p w14:paraId="2D955D23" w14:textId="77777777" w:rsidR="00404C63" w:rsidRPr="00E9488B" w:rsidRDefault="00000000">
      <w:pPr>
        <w:pStyle w:val="Heading2"/>
        <w:rPr>
          <w:lang w:val="es-ES"/>
        </w:rPr>
      </w:pPr>
      <w:r w:rsidRPr="00E9488B">
        <w:rPr>
          <w:lang w:val="es-ES"/>
        </w:rPr>
        <w:t>4.3 Proceso de entrenamiento</w:t>
      </w:r>
    </w:p>
    <w:p w14:paraId="5622DA36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 xml:space="preserve">Los datos son preprocesados mediante Label </w:t>
      </w:r>
      <w:proofErr w:type="spellStart"/>
      <w:r w:rsidRPr="00E9488B">
        <w:rPr>
          <w:color w:val="000000"/>
          <w:lang w:val="es-ES"/>
        </w:rPr>
        <w:t>Encoding</w:t>
      </w:r>
      <w:proofErr w:type="spellEnd"/>
      <w:r w:rsidRPr="00E9488B">
        <w:rPr>
          <w:color w:val="000000"/>
          <w:lang w:val="es-ES"/>
        </w:rPr>
        <w:t xml:space="preserve"> para las 13 variables categóricas. El dataset se divide en 800 muestras de entrenamiento y 200 de prueba con estratificación, preservando la proporción de clases. El modelo aprende patrones de riesgo crediticio a partir de los 800 casos históricos y es evaluado sobre los 200 casos que nunca vio durante el entrenamiento.</w:t>
      </w:r>
    </w:p>
    <w:p w14:paraId="121A22EF" w14:textId="77777777" w:rsidR="00404C63" w:rsidRPr="00E9488B" w:rsidRDefault="00000000">
      <w:pPr>
        <w:pStyle w:val="Heading1"/>
        <w:rPr>
          <w:lang w:val="es-ES"/>
        </w:rPr>
      </w:pPr>
      <w:r w:rsidRPr="00E9488B">
        <w:rPr>
          <w:lang w:val="es-ES"/>
        </w:rPr>
        <w:t>5. Resultados obtenidos</w:t>
      </w:r>
    </w:p>
    <w:p w14:paraId="0FBAF216" w14:textId="77777777" w:rsidR="00404C63" w:rsidRPr="00E9488B" w:rsidRDefault="00000000">
      <w:pPr>
        <w:pStyle w:val="Heading2"/>
        <w:rPr>
          <w:lang w:val="es-ES"/>
        </w:rPr>
      </w:pPr>
      <w:r w:rsidRPr="00E9488B">
        <w:rPr>
          <w:lang w:val="es-ES"/>
        </w:rPr>
        <w:t>5.1 Métricas de desempeño</w:t>
      </w:r>
    </w:p>
    <w:p w14:paraId="11E5DF81" w14:textId="77777777" w:rsidR="00404C63" w:rsidRPr="00E9488B" w:rsidRDefault="00404C63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04C63" w:rsidRPr="00E9488B" w14:paraId="2552DF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A4FA8"/>
              <w:left w:val="single" w:sz="4" w:space="0" w:color="1A4FA8"/>
              <w:bottom w:val="single" w:sz="4" w:space="0" w:color="1A4FA8"/>
              <w:right w:val="single" w:sz="4" w:space="0" w:color="1A4FA8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2377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b/>
                <w:bCs/>
                <w:color w:val="FFFFFF"/>
                <w:sz w:val="22"/>
                <w:szCs w:val="22"/>
                <w:lang w:val="es-ES"/>
              </w:rPr>
              <w:t>Métrica</w:t>
            </w:r>
          </w:p>
        </w:tc>
        <w:tc>
          <w:tcPr>
            <w:tcW w:w="4680" w:type="dxa"/>
            <w:tcBorders>
              <w:top w:val="single" w:sz="4" w:space="0" w:color="1A4FA8"/>
              <w:left w:val="single" w:sz="4" w:space="0" w:color="1A4FA8"/>
              <w:bottom w:val="single" w:sz="4" w:space="0" w:color="1A4FA8"/>
              <w:right w:val="single" w:sz="4" w:space="0" w:color="1A4FA8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70A2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b/>
                <w:bCs/>
                <w:color w:val="FFFFFF"/>
                <w:sz w:val="22"/>
                <w:szCs w:val="22"/>
                <w:lang w:val="es-ES"/>
              </w:rPr>
              <w:t>Valor</w:t>
            </w:r>
          </w:p>
        </w:tc>
      </w:tr>
      <w:tr w:rsidR="00404C63" w:rsidRPr="00E9488B" w14:paraId="328880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4D96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Exactitud (</w:t>
            </w:r>
            <w:proofErr w:type="spellStart"/>
            <w:r w:rsidRPr="00E9488B">
              <w:rPr>
                <w:color w:val="000000"/>
                <w:sz w:val="22"/>
                <w:szCs w:val="22"/>
                <w:lang w:val="es-ES"/>
              </w:rPr>
              <w:t>Accuracy</w:t>
            </w:r>
            <w:proofErr w:type="spellEnd"/>
            <w:r w:rsidRPr="00E9488B">
              <w:rPr>
                <w:color w:val="000000"/>
                <w:sz w:val="22"/>
                <w:szCs w:val="22"/>
                <w:lang w:val="es-ES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768B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b/>
                <w:bCs/>
                <w:color w:val="000000"/>
                <w:sz w:val="22"/>
                <w:szCs w:val="22"/>
                <w:lang w:val="es-ES"/>
              </w:rPr>
              <w:t>75.5%</w:t>
            </w:r>
          </w:p>
        </w:tc>
      </w:tr>
      <w:tr w:rsidR="00404C63" w:rsidRPr="00E9488B" w14:paraId="2A43A9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6559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AUC-ROC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DFAD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b/>
                <w:bCs/>
                <w:color w:val="000000"/>
                <w:sz w:val="22"/>
                <w:szCs w:val="22"/>
                <w:lang w:val="es-ES"/>
              </w:rPr>
              <w:t>79.4%</w:t>
            </w:r>
          </w:p>
        </w:tc>
      </w:tr>
      <w:tr w:rsidR="00404C63" w:rsidRPr="00E9488B" w14:paraId="070E04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8E9D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lastRenderedPageBreak/>
              <w:t>Muestras entrenamiento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BD67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800</w:t>
            </w:r>
          </w:p>
        </w:tc>
      </w:tr>
      <w:tr w:rsidR="00404C63" w:rsidRPr="00E9488B" w14:paraId="22BD00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8C13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Muestras prueba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8EAB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200</w:t>
            </w:r>
          </w:p>
        </w:tc>
      </w:tr>
    </w:tbl>
    <w:p w14:paraId="47D57C2A" w14:textId="77777777" w:rsidR="00404C63" w:rsidRPr="00E9488B" w:rsidRDefault="00404C63">
      <w:pPr>
        <w:spacing w:after="80"/>
        <w:rPr>
          <w:lang w:val="es-ES"/>
        </w:rPr>
      </w:pPr>
    </w:p>
    <w:p w14:paraId="6409251B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>La exactitud de 75.5% indica que el modelo clasifica correctamente 3 de cada 4 solicitudes. El AUC-ROC de 79.4% refleja la capacidad discriminante del modelo: si se toma un caso de buen riesgo y uno de mal riesgo al azar, el modelo asigna mayor probabilidad de riesgo al caso correcto el 79.4% de las veces. Ambas métricas son consistentes con la literatura para este dataset (</w:t>
      </w:r>
      <w:proofErr w:type="spellStart"/>
      <w:r w:rsidRPr="00E9488B">
        <w:rPr>
          <w:color w:val="000000"/>
          <w:lang w:val="es-ES"/>
        </w:rPr>
        <w:t>Ileberi</w:t>
      </w:r>
      <w:proofErr w:type="spellEnd"/>
      <w:r w:rsidRPr="00E9488B">
        <w:rPr>
          <w:color w:val="000000"/>
          <w:lang w:val="es-ES"/>
        </w:rPr>
        <w:t xml:space="preserve"> et al., 2024).</w:t>
      </w:r>
    </w:p>
    <w:p w14:paraId="4DE17272" w14:textId="77777777" w:rsidR="00404C63" w:rsidRPr="00E9488B" w:rsidRDefault="00000000">
      <w:pPr>
        <w:pStyle w:val="Heading2"/>
        <w:rPr>
          <w:lang w:val="es-ES"/>
        </w:rPr>
      </w:pPr>
      <w:r w:rsidRPr="00E9488B">
        <w:rPr>
          <w:lang w:val="es-ES"/>
        </w:rPr>
        <w:t>5.2 Matriz de confusión</w:t>
      </w:r>
    </w:p>
    <w:p w14:paraId="5CF05FFF" w14:textId="77777777" w:rsidR="00404C63" w:rsidRPr="00E9488B" w:rsidRDefault="00404C63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404C63" w:rsidRPr="00E9488B" w14:paraId="69A20A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A4FA8"/>
              <w:left w:val="single" w:sz="4" w:space="0" w:color="1A4FA8"/>
              <w:bottom w:val="single" w:sz="4" w:space="0" w:color="1A4FA8"/>
              <w:right w:val="single" w:sz="4" w:space="0" w:color="1A4FA8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98A6" w14:textId="77777777" w:rsidR="00404C63" w:rsidRPr="00E9488B" w:rsidRDefault="00404C63">
            <w:pPr>
              <w:rPr>
                <w:lang w:val="es-ES"/>
              </w:rPr>
            </w:pPr>
          </w:p>
        </w:tc>
        <w:tc>
          <w:tcPr>
            <w:tcW w:w="3510" w:type="dxa"/>
            <w:tcBorders>
              <w:top w:val="single" w:sz="4" w:space="0" w:color="1A4FA8"/>
              <w:left w:val="single" w:sz="4" w:space="0" w:color="1A4FA8"/>
              <w:bottom w:val="single" w:sz="4" w:space="0" w:color="1A4FA8"/>
              <w:right w:val="single" w:sz="4" w:space="0" w:color="1A4FA8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D811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b/>
                <w:bCs/>
                <w:color w:val="FFFFFF"/>
                <w:sz w:val="22"/>
                <w:szCs w:val="22"/>
                <w:lang w:val="es-ES"/>
              </w:rPr>
              <w:t>Predicho: Aprobado</w:t>
            </w:r>
          </w:p>
        </w:tc>
        <w:tc>
          <w:tcPr>
            <w:tcW w:w="3510" w:type="dxa"/>
            <w:tcBorders>
              <w:top w:val="single" w:sz="4" w:space="0" w:color="1A4FA8"/>
              <w:left w:val="single" w:sz="4" w:space="0" w:color="1A4FA8"/>
              <w:bottom w:val="single" w:sz="4" w:space="0" w:color="1A4FA8"/>
              <w:right w:val="single" w:sz="4" w:space="0" w:color="1A4FA8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F41F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b/>
                <w:bCs/>
                <w:color w:val="FFFFFF"/>
                <w:sz w:val="22"/>
                <w:szCs w:val="22"/>
                <w:lang w:val="es-ES"/>
              </w:rPr>
              <w:t>Predicho: Rechazado</w:t>
            </w:r>
          </w:p>
        </w:tc>
      </w:tr>
      <w:tr w:rsidR="00404C63" w:rsidRPr="00E9488B" w14:paraId="23C388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D7C4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b/>
                <w:bCs/>
                <w:color w:val="000000"/>
                <w:sz w:val="22"/>
                <w:szCs w:val="22"/>
                <w:lang w:val="es-ES"/>
              </w:rPr>
              <w:t>Real: Aprobado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1D7E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1A7A50"/>
                <w:sz w:val="22"/>
                <w:szCs w:val="22"/>
                <w:lang w:val="es-ES"/>
              </w:rPr>
              <w:t>113 (TN)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59D2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CC3300"/>
                <w:sz w:val="22"/>
                <w:szCs w:val="22"/>
                <w:lang w:val="es-ES"/>
              </w:rPr>
              <w:t>27 (FP)</w:t>
            </w:r>
          </w:p>
        </w:tc>
      </w:tr>
      <w:tr w:rsidR="00404C63" w:rsidRPr="00E9488B" w14:paraId="5FD1BC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6434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b/>
                <w:bCs/>
                <w:color w:val="000000"/>
                <w:sz w:val="22"/>
                <w:szCs w:val="22"/>
                <w:lang w:val="es-ES"/>
              </w:rPr>
              <w:t>Real: Rechazado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E40C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CC7700"/>
                <w:sz w:val="22"/>
                <w:szCs w:val="22"/>
                <w:lang w:val="es-ES"/>
              </w:rPr>
              <w:t>22 (FN)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934C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1A7A50"/>
                <w:sz w:val="22"/>
                <w:szCs w:val="22"/>
                <w:lang w:val="es-ES"/>
              </w:rPr>
              <w:t>38 (TP)</w:t>
            </w:r>
          </w:p>
        </w:tc>
      </w:tr>
    </w:tbl>
    <w:p w14:paraId="0C47B74B" w14:textId="77777777" w:rsidR="00404C63" w:rsidRPr="00E9488B" w:rsidRDefault="00404C63">
      <w:pPr>
        <w:spacing w:after="80"/>
        <w:rPr>
          <w:lang w:val="es-ES"/>
        </w:rPr>
      </w:pPr>
    </w:p>
    <w:p w14:paraId="364F6A86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>La matriz revela que el modelo identifica correctamente 113 de 140 casos de buen riesgo (80.7%) y 38 de 60 casos de mal riesgo (63.3%). Los 22 falsos negativos (casos de mal riesgo clasificados como aprobados) representan el error de mayor costo para una institución financiera, ya que implican créditos otorgados a clientes que eventualmente incumplirán.</w:t>
      </w:r>
    </w:p>
    <w:p w14:paraId="1FB66BF3" w14:textId="77777777" w:rsidR="00404C63" w:rsidRPr="00E9488B" w:rsidRDefault="00000000">
      <w:pPr>
        <w:pStyle w:val="Heading2"/>
        <w:rPr>
          <w:lang w:val="es-ES"/>
        </w:rPr>
      </w:pPr>
      <w:r w:rsidRPr="00E9488B">
        <w:rPr>
          <w:lang w:val="es-ES"/>
        </w:rPr>
        <w:t>5.3 Variables más relevantes</w:t>
      </w:r>
    </w:p>
    <w:p w14:paraId="345817E1" w14:textId="77777777" w:rsidR="00404C63" w:rsidRPr="00E9488B" w:rsidRDefault="00404C63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5956"/>
        <w:gridCol w:w="2919"/>
      </w:tblGrid>
      <w:tr w:rsidR="00404C63" w:rsidRPr="00E9488B" w14:paraId="32EBDAD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1A4FA8"/>
              <w:left w:val="single" w:sz="4" w:space="0" w:color="1A4FA8"/>
              <w:bottom w:val="single" w:sz="4" w:space="0" w:color="1A4FA8"/>
              <w:right w:val="single" w:sz="4" w:space="0" w:color="1A4FA8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DAF8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b/>
                <w:bCs/>
                <w:color w:val="FFFFFF"/>
                <w:sz w:val="22"/>
                <w:szCs w:val="22"/>
                <w:lang w:val="es-ES"/>
              </w:rPr>
              <w:t>#</w:t>
            </w:r>
          </w:p>
        </w:tc>
        <w:tc>
          <w:tcPr>
            <w:tcW w:w="5960" w:type="dxa"/>
            <w:tcBorders>
              <w:top w:val="single" w:sz="4" w:space="0" w:color="1A4FA8"/>
              <w:left w:val="single" w:sz="4" w:space="0" w:color="1A4FA8"/>
              <w:bottom w:val="single" w:sz="4" w:space="0" w:color="1A4FA8"/>
              <w:right w:val="single" w:sz="4" w:space="0" w:color="1A4FA8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39D5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b/>
                <w:bCs/>
                <w:color w:val="FFFFFF"/>
                <w:sz w:val="22"/>
                <w:szCs w:val="22"/>
                <w:lang w:val="es-ES"/>
              </w:rPr>
              <w:t>Variable</w:t>
            </w:r>
          </w:p>
        </w:tc>
        <w:tc>
          <w:tcPr>
            <w:tcW w:w="2920" w:type="dxa"/>
            <w:tcBorders>
              <w:top w:val="single" w:sz="4" w:space="0" w:color="1A4FA8"/>
              <w:left w:val="single" w:sz="4" w:space="0" w:color="1A4FA8"/>
              <w:bottom w:val="single" w:sz="4" w:space="0" w:color="1A4FA8"/>
              <w:right w:val="single" w:sz="4" w:space="0" w:color="1A4FA8"/>
            </w:tcBorders>
            <w:shd w:val="clear" w:color="auto" w:fill="1A4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5CC6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b/>
                <w:bCs/>
                <w:color w:val="FFFFFF"/>
                <w:sz w:val="22"/>
                <w:szCs w:val="22"/>
                <w:lang w:val="es-ES"/>
              </w:rPr>
              <w:t>Importancia</w:t>
            </w:r>
          </w:p>
        </w:tc>
      </w:tr>
      <w:tr w:rsidR="00404C63" w:rsidRPr="00E9488B" w14:paraId="4819849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4BD0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3F01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Estado cuenta corriente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FE67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b/>
                <w:bCs/>
                <w:color w:val="1A4FA8"/>
                <w:sz w:val="22"/>
                <w:szCs w:val="22"/>
                <w:lang w:val="es-ES"/>
              </w:rPr>
              <w:t>18.6%</w:t>
            </w:r>
          </w:p>
        </w:tc>
      </w:tr>
      <w:tr w:rsidR="00404C63" w:rsidRPr="00E9488B" w14:paraId="51DE5B2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7B04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0538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Monto del crédito (DM)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1B1A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11.8%</w:t>
            </w:r>
          </w:p>
        </w:tc>
      </w:tr>
      <w:tr w:rsidR="00404C63" w:rsidRPr="00E9488B" w14:paraId="1F6815A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F064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0FC2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Duración del crédito (meses)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60BD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10.2%</w:t>
            </w:r>
          </w:p>
        </w:tc>
      </w:tr>
      <w:tr w:rsidR="00404C63" w:rsidRPr="00E9488B" w14:paraId="19F7861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0C64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5409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Edad (años)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B2EA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7.6%</w:t>
            </w:r>
          </w:p>
        </w:tc>
      </w:tr>
      <w:tr w:rsidR="00404C63" w:rsidRPr="00E9488B" w14:paraId="3632673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D3FB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23CA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Cuenta de ahorro/bonos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F3E5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7.2%</w:t>
            </w:r>
          </w:p>
        </w:tc>
      </w:tr>
      <w:tr w:rsidR="00404C63" w:rsidRPr="00E9488B" w14:paraId="75EB7A1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8133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6CE6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Historial crediticio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988F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6.7%</w:t>
            </w:r>
          </w:p>
        </w:tc>
      </w:tr>
      <w:tr w:rsidR="00404C63" w:rsidRPr="00E9488B" w14:paraId="7C81F89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C3E2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94C9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Propósito del crédito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BB22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4.8%</w:t>
            </w:r>
          </w:p>
        </w:tc>
      </w:tr>
      <w:tr w:rsidR="00404C63" w:rsidRPr="00E9488B" w14:paraId="643113E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BE33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8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772E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Tiempo de empleo actual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F296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4.8%</w:t>
            </w:r>
          </w:p>
        </w:tc>
      </w:tr>
      <w:tr w:rsidR="00404C63" w:rsidRPr="00E9488B" w14:paraId="02203A3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1DC0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9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207F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Propiedad más valiosa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887E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4.5%</w:t>
            </w:r>
          </w:p>
        </w:tc>
      </w:tr>
      <w:tr w:rsidR="00404C63" w:rsidRPr="00E9488B" w14:paraId="1A3616A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28A7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10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571F" w14:textId="77777777" w:rsidR="00404C63" w:rsidRPr="00E9488B" w:rsidRDefault="00000000">
            <w:pPr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Otros planes de cuotas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49E8" w14:textId="77777777" w:rsidR="00404C63" w:rsidRPr="00E9488B" w:rsidRDefault="00000000">
            <w:pPr>
              <w:jc w:val="center"/>
              <w:rPr>
                <w:lang w:val="es-ES"/>
              </w:rPr>
            </w:pPr>
            <w:r w:rsidRPr="00E9488B">
              <w:rPr>
                <w:color w:val="000000"/>
                <w:sz w:val="22"/>
                <w:szCs w:val="22"/>
                <w:lang w:val="es-ES"/>
              </w:rPr>
              <w:t>4.0%</w:t>
            </w:r>
          </w:p>
        </w:tc>
      </w:tr>
    </w:tbl>
    <w:p w14:paraId="28110367" w14:textId="77777777" w:rsidR="00404C63" w:rsidRPr="00E9488B" w:rsidRDefault="00404C63">
      <w:pPr>
        <w:spacing w:after="80"/>
        <w:rPr>
          <w:lang w:val="es-ES"/>
        </w:rPr>
      </w:pPr>
    </w:p>
    <w:p w14:paraId="2FBC595D" w14:textId="77777777" w:rsidR="00404C63" w:rsidRPr="00E9488B" w:rsidRDefault="00000000">
      <w:pPr>
        <w:pStyle w:val="Heading1"/>
        <w:rPr>
          <w:lang w:val="es-ES"/>
        </w:rPr>
      </w:pPr>
      <w:r w:rsidRPr="00E9488B">
        <w:rPr>
          <w:lang w:val="es-ES"/>
        </w:rPr>
        <w:lastRenderedPageBreak/>
        <w:t>6. Interpretación de resultados y coherencia económica</w:t>
      </w:r>
    </w:p>
    <w:p w14:paraId="67BD218B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>Los resultados son económicamente coherentes con la teoría crediticia y la práctica bancaria. El estado de la cuenta corriente lidera con un 18.6% de importancia: un cliente con saldo negativo presenta señales inmediatas de estrés financiero y baja capacidad de pago. Le siguen el monto y la duración del crédito (11.8% y 10.2%), que determinan la exposición total del prestamista y el riesgo de cambios en la situación del deudor a lo largo del tiempo.</w:t>
      </w:r>
    </w:p>
    <w:p w14:paraId="5DBCCCC0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 xml:space="preserve">La edad (7.6%) refleja la estabilidad del ciclo de vida financiero: solicitantes de mayor edad tienen generalmente ingresos más estables y mayor historial crediticio acumulado. La cuenta de ahorro (7.2%) y el historial crediticio (6.7%) capturan directamente la disciplina financiera pasada del solicitante, que es el predictor más utilizado en los sistemas de </w:t>
      </w:r>
      <w:proofErr w:type="spellStart"/>
      <w:r w:rsidRPr="00E9488B">
        <w:rPr>
          <w:color w:val="000000"/>
          <w:lang w:val="es-ES"/>
        </w:rPr>
        <w:t>scoring</w:t>
      </w:r>
      <w:proofErr w:type="spellEnd"/>
      <w:r w:rsidRPr="00E9488B">
        <w:rPr>
          <w:color w:val="000000"/>
          <w:lang w:val="es-ES"/>
        </w:rPr>
        <w:t xml:space="preserve"> tradicionales (Altman, 1968).</w:t>
      </w:r>
    </w:p>
    <w:p w14:paraId="2F07DA3C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 xml:space="preserve">Desde la perspectiva </w:t>
      </w:r>
      <w:proofErr w:type="spellStart"/>
      <w:r w:rsidRPr="00E9488B">
        <w:rPr>
          <w:color w:val="000000"/>
          <w:lang w:val="es-ES"/>
        </w:rPr>
        <w:t>fintech</w:t>
      </w:r>
      <w:proofErr w:type="spellEnd"/>
      <w:r w:rsidRPr="00E9488B">
        <w:rPr>
          <w:color w:val="000000"/>
          <w:lang w:val="es-ES"/>
        </w:rPr>
        <w:t xml:space="preserve">, el modelo automatiza una decisión que los bancos tradicionales toman en días, reduciéndola a milisegundos. La transparencia en los factores influyentes permite cumplir con el principio de </w:t>
      </w:r>
      <w:proofErr w:type="spellStart"/>
      <w:r w:rsidRPr="00E9488B">
        <w:rPr>
          <w:color w:val="000000"/>
          <w:lang w:val="es-ES"/>
        </w:rPr>
        <w:t>explicabilidad</w:t>
      </w:r>
      <w:proofErr w:type="spellEnd"/>
      <w:r w:rsidRPr="00E9488B">
        <w:rPr>
          <w:color w:val="000000"/>
          <w:lang w:val="es-ES"/>
        </w:rPr>
        <w:t xml:space="preserve"> exigido por reguladores como la CMF en Chile y el RGPD en Europa para decisiones automatizadas.</w:t>
      </w:r>
    </w:p>
    <w:p w14:paraId="5B4C0CA2" w14:textId="77777777" w:rsidR="00404C63" w:rsidRPr="00E9488B" w:rsidRDefault="00000000">
      <w:pPr>
        <w:pStyle w:val="Heading1"/>
        <w:rPr>
          <w:lang w:val="es-ES"/>
        </w:rPr>
      </w:pPr>
      <w:r w:rsidRPr="00E9488B">
        <w:rPr>
          <w:lang w:val="es-ES"/>
        </w:rPr>
        <w:t>7. Limitaciones del enfoque</w:t>
      </w:r>
    </w:p>
    <w:p w14:paraId="0F8D7EB8" w14:textId="77777777" w:rsidR="00404C63" w:rsidRPr="00E9488B" w:rsidRDefault="00000000">
      <w:pPr>
        <w:pStyle w:val="ListParagraph"/>
        <w:numPr>
          <w:ilvl w:val="0"/>
          <w:numId w:val="2"/>
        </w:numPr>
        <w:spacing w:after="80"/>
        <w:rPr>
          <w:lang w:val="es-ES"/>
        </w:rPr>
      </w:pPr>
      <w:r w:rsidRPr="00E9488B">
        <w:rPr>
          <w:color w:val="000000"/>
          <w:lang w:val="es-ES"/>
        </w:rPr>
        <w:t>El dataset corresponde a Alemania en 1994, por lo que las distribuciones de variables pueden no ser representativas de mercados latinoamericanos actuales.</w:t>
      </w:r>
    </w:p>
    <w:p w14:paraId="4243007B" w14:textId="77777777" w:rsidR="00404C63" w:rsidRPr="00E9488B" w:rsidRDefault="00000000">
      <w:pPr>
        <w:pStyle w:val="ListParagraph"/>
        <w:numPr>
          <w:ilvl w:val="0"/>
          <w:numId w:val="2"/>
        </w:numPr>
        <w:spacing w:after="80"/>
        <w:rPr>
          <w:lang w:val="es-ES"/>
        </w:rPr>
      </w:pPr>
      <w:r w:rsidRPr="00E9488B">
        <w:rPr>
          <w:color w:val="000000"/>
          <w:lang w:val="es-ES"/>
        </w:rPr>
        <w:t>El modelo no persiste entre sesiones: cada vez que el evaluador abre la aplicación debe reentrenar, lo que implica ~10 segundos de espera y una conexión activa al servidor UCI.</w:t>
      </w:r>
    </w:p>
    <w:p w14:paraId="1F764BE6" w14:textId="77777777" w:rsidR="00404C63" w:rsidRPr="00E9488B" w:rsidRDefault="00000000">
      <w:pPr>
        <w:pStyle w:val="ListParagraph"/>
        <w:numPr>
          <w:ilvl w:val="0"/>
          <w:numId w:val="2"/>
        </w:numPr>
        <w:spacing w:after="80"/>
        <w:rPr>
          <w:lang w:val="es-ES"/>
        </w:rPr>
      </w:pPr>
      <w:r w:rsidRPr="00E9488B">
        <w:rPr>
          <w:color w:val="000000"/>
          <w:lang w:val="es-ES"/>
        </w:rPr>
        <w:t xml:space="preserve">La tasa de detección de mal riesgo (63.3%) es inferior a la de buen riesgo (80.7%), lo que es común en </w:t>
      </w:r>
      <w:proofErr w:type="spellStart"/>
      <w:r w:rsidRPr="00E9488B">
        <w:rPr>
          <w:color w:val="000000"/>
          <w:lang w:val="es-ES"/>
        </w:rPr>
        <w:t>datasets</w:t>
      </w:r>
      <w:proofErr w:type="spellEnd"/>
      <w:r w:rsidRPr="00E9488B">
        <w:rPr>
          <w:color w:val="000000"/>
          <w:lang w:val="es-ES"/>
        </w:rPr>
        <w:t xml:space="preserve"> desbalanceados. Técnicas como SMOTE o ajuste de umbral de clasificación podrían mejorar este aspecto.</w:t>
      </w:r>
    </w:p>
    <w:p w14:paraId="184A6889" w14:textId="77777777" w:rsidR="00404C63" w:rsidRPr="00E9488B" w:rsidRDefault="00000000">
      <w:pPr>
        <w:pStyle w:val="ListParagraph"/>
        <w:numPr>
          <w:ilvl w:val="0"/>
          <w:numId w:val="2"/>
        </w:numPr>
        <w:spacing w:after="80"/>
        <w:rPr>
          <w:lang w:val="es-ES"/>
        </w:rPr>
      </w:pPr>
      <w:r w:rsidRPr="00E9488B">
        <w:rPr>
          <w:color w:val="000000"/>
          <w:lang w:val="es-ES"/>
        </w:rPr>
        <w:t xml:space="preserve">Las variables del dataset no incluyen información de comportamiento digital (pagos móviles, historial de compras), que es un insumo clave en los modelos de </w:t>
      </w:r>
      <w:proofErr w:type="spellStart"/>
      <w:r w:rsidRPr="00E9488B">
        <w:rPr>
          <w:color w:val="000000"/>
          <w:lang w:val="es-ES"/>
        </w:rPr>
        <w:t>scoring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fintech</w:t>
      </w:r>
      <w:proofErr w:type="spellEnd"/>
      <w:r w:rsidRPr="00E9488B">
        <w:rPr>
          <w:color w:val="000000"/>
          <w:lang w:val="es-ES"/>
        </w:rPr>
        <w:t xml:space="preserve"> de nueva generación.</w:t>
      </w:r>
    </w:p>
    <w:p w14:paraId="79990929" w14:textId="77777777" w:rsidR="00404C63" w:rsidRPr="00E9488B" w:rsidRDefault="00000000">
      <w:pPr>
        <w:pStyle w:val="ListParagraph"/>
        <w:numPr>
          <w:ilvl w:val="0"/>
          <w:numId w:val="2"/>
        </w:numPr>
        <w:spacing w:after="80"/>
        <w:rPr>
          <w:lang w:val="es-ES"/>
        </w:rPr>
      </w:pPr>
      <w:r w:rsidRPr="00E9488B">
        <w:rPr>
          <w:color w:val="000000"/>
          <w:lang w:val="es-ES"/>
        </w:rPr>
        <w:t>El modelo no incorpora variables macroeconómicas (tasa de desempleo, inflación) que pueden afectar significativamente la probabilidad de default en distintos ciclos económicos.</w:t>
      </w:r>
    </w:p>
    <w:p w14:paraId="7F016F57" w14:textId="77777777" w:rsidR="00404C63" w:rsidRPr="00E9488B" w:rsidRDefault="00404C63">
      <w:pPr>
        <w:spacing w:after="80"/>
        <w:rPr>
          <w:lang w:val="es-ES"/>
        </w:rPr>
      </w:pPr>
    </w:p>
    <w:p w14:paraId="751949C6" w14:textId="77777777" w:rsidR="00404C63" w:rsidRPr="00E9488B" w:rsidRDefault="00000000">
      <w:pPr>
        <w:pStyle w:val="Heading1"/>
        <w:rPr>
          <w:lang w:val="es-ES"/>
        </w:rPr>
      </w:pPr>
      <w:r w:rsidRPr="00E9488B">
        <w:rPr>
          <w:lang w:val="es-ES"/>
        </w:rPr>
        <w:t>Referencias</w:t>
      </w:r>
    </w:p>
    <w:p w14:paraId="663023CB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 xml:space="preserve">Altman, E. I. (1968). </w:t>
      </w:r>
      <w:proofErr w:type="spellStart"/>
      <w:r w:rsidRPr="00E9488B">
        <w:rPr>
          <w:color w:val="000000"/>
          <w:lang w:val="es-ES"/>
        </w:rPr>
        <w:t>Financial</w:t>
      </w:r>
      <w:proofErr w:type="spellEnd"/>
      <w:r w:rsidRPr="00E9488B">
        <w:rPr>
          <w:color w:val="000000"/>
          <w:lang w:val="es-ES"/>
        </w:rPr>
        <w:t xml:space="preserve"> ratios, </w:t>
      </w:r>
      <w:proofErr w:type="spellStart"/>
      <w:r w:rsidRPr="00E9488B">
        <w:rPr>
          <w:color w:val="000000"/>
          <w:lang w:val="es-ES"/>
        </w:rPr>
        <w:t>discriminant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analysis</w:t>
      </w:r>
      <w:proofErr w:type="spellEnd"/>
      <w:r w:rsidRPr="00E9488B">
        <w:rPr>
          <w:color w:val="000000"/>
          <w:lang w:val="es-ES"/>
        </w:rPr>
        <w:t xml:space="preserve"> and </w:t>
      </w:r>
      <w:proofErr w:type="spellStart"/>
      <w:r w:rsidRPr="00E9488B">
        <w:rPr>
          <w:color w:val="000000"/>
          <w:lang w:val="es-ES"/>
        </w:rPr>
        <w:t>the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prediction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of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corporate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bankruptcy</w:t>
      </w:r>
      <w:proofErr w:type="spellEnd"/>
      <w:r w:rsidRPr="00E9488B">
        <w:rPr>
          <w:color w:val="000000"/>
          <w:lang w:val="es-ES"/>
        </w:rPr>
        <w:t xml:space="preserve">. The </w:t>
      </w:r>
      <w:proofErr w:type="spellStart"/>
      <w:r w:rsidRPr="00E9488B">
        <w:rPr>
          <w:color w:val="000000"/>
          <w:lang w:val="es-ES"/>
        </w:rPr>
        <w:t>Journal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of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Finance</w:t>
      </w:r>
      <w:proofErr w:type="spellEnd"/>
      <w:r w:rsidRPr="00E9488B">
        <w:rPr>
          <w:color w:val="000000"/>
          <w:lang w:val="es-ES"/>
        </w:rPr>
        <w:t>, 23(4), 589-609.</w:t>
      </w:r>
    </w:p>
    <w:p w14:paraId="5FDA0E1E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 xml:space="preserve">Breiman, L. (2001). Random </w:t>
      </w:r>
      <w:proofErr w:type="spellStart"/>
      <w:r w:rsidRPr="00E9488B">
        <w:rPr>
          <w:color w:val="000000"/>
          <w:lang w:val="es-ES"/>
        </w:rPr>
        <w:t>forests</w:t>
      </w:r>
      <w:proofErr w:type="spellEnd"/>
      <w:r w:rsidRPr="00E9488B">
        <w:rPr>
          <w:color w:val="000000"/>
          <w:lang w:val="es-ES"/>
        </w:rPr>
        <w:t xml:space="preserve">. Machine </w:t>
      </w:r>
      <w:proofErr w:type="spellStart"/>
      <w:r w:rsidRPr="00E9488B">
        <w:rPr>
          <w:color w:val="000000"/>
          <w:lang w:val="es-ES"/>
        </w:rPr>
        <w:t>Learning</w:t>
      </w:r>
      <w:proofErr w:type="spellEnd"/>
      <w:r w:rsidRPr="00E9488B">
        <w:rPr>
          <w:color w:val="000000"/>
          <w:lang w:val="es-ES"/>
        </w:rPr>
        <w:t>, 45(1), 5-32.</w:t>
      </w:r>
    </w:p>
    <w:p w14:paraId="4B5C79E7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 xml:space="preserve">Hofmann, H. (1994). </w:t>
      </w:r>
      <w:proofErr w:type="spellStart"/>
      <w:r w:rsidRPr="00E9488B">
        <w:rPr>
          <w:color w:val="000000"/>
          <w:lang w:val="es-ES"/>
        </w:rPr>
        <w:t>Statlog</w:t>
      </w:r>
      <w:proofErr w:type="spellEnd"/>
      <w:r w:rsidRPr="00E9488B">
        <w:rPr>
          <w:color w:val="000000"/>
          <w:lang w:val="es-ES"/>
        </w:rPr>
        <w:t xml:space="preserve"> (German Credit Data) [Dataset]. UCI Machine </w:t>
      </w:r>
      <w:proofErr w:type="spellStart"/>
      <w:r w:rsidRPr="00E9488B">
        <w:rPr>
          <w:color w:val="000000"/>
          <w:lang w:val="es-ES"/>
        </w:rPr>
        <w:t>Learning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Repository</w:t>
      </w:r>
      <w:proofErr w:type="spellEnd"/>
      <w:r w:rsidRPr="00E9488B">
        <w:rPr>
          <w:color w:val="000000"/>
          <w:lang w:val="es-ES"/>
        </w:rPr>
        <w:t>. https://doi.org/10.24432/C5NC77</w:t>
      </w:r>
    </w:p>
    <w:p w14:paraId="35BD6710" w14:textId="77777777" w:rsidR="00404C63" w:rsidRPr="00E9488B" w:rsidRDefault="00000000">
      <w:pPr>
        <w:spacing w:after="160"/>
        <w:jc w:val="both"/>
        <w:rPr>
          <w:lang w:val="es-ES"/>
        </w:rPr>
      </w:pPr>
      <w:proofErr w:type="spellStart"/>
      <w:r w:rsidRPr="00E9488B">
        <w:rPr>
          <w:color w:val="000000"/>
          <w:lang w:val="es-ES"/>
        </w:rPr>
        <w:lastRenderedPageBreak/>
        <w:t>Ileberi</w:t>
      </w:r>
      <w:proofErr w:type="spellEnd"/>
      <w:r w:rsidRPr="00E9488B">
        <w:rPr>
          <w:color w:val="000000"/>
          <w:lang w:val="es-ES"/>
        </w:rPr>
        <w:t xml:space="preserve">, E., </w:t>
      </w:r>
      <w:proofErr w:type="spellStart"/>
      <w:r w:rsidRPr="00E9488B">
        <w:rPr>
          <w:color w:val="000000"/>
          <w:lang w:val="es-ES"/>
        </w:rPr>
        <w:t>Sun</w:t>
      </w:r>
      <w:proofErr w:type="spellEnd"/>
      <w:r w:rsidRPr="00E9488B">
        <w:rPr>
          <w:color w:val="000000"/>
          <w:lang w:val="es-ES"/>
        </w:rPr>
        <w:t xml:space="preserve">, Y., &amp; Wang, Z. (2024). A machine </w:t>
      </w:r>
      <w:proofErr w:type="spellStart"/>
      <w:r w:rsidRPr="00E9488B">
        <w:rPr>
          <w:color w:val="000000"/>
          <w:lang w:val="es-ES"/>
        </w:rPr>
        <w:t>learning-based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credit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risk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prediction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engine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system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using</w:t>
      </w:r>
      <w:proofErr w:type="spellEnd"/>
      <w:r w:rsidRPr="00E9488B">
        <w:rPr>
          <w:color w:val="000000"/>
          <w:lang w:val="es-ES"/>
        </w:rPr>
        <w:t xml:space="preserve"> a </w:t>
      </w:r>
      <w:proofErr w:type="spellStart"/>
      <w:r w:rsidRPr="00E9488B">
        <w:rPr>
          <w:color w:val="000000"/>
          <w:lang w:val="es-ES"/>
        </w:rPr>
        <w:t>stacked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classifier</w:t>
      </w:r>
      <w:proofErr w:type="spellEnd"/>
      <w:r w:rsidRPr="00E9488B">
        <w:rPr>
          <w:color w:val="000000"/>
          <w:lang w:val="es-ES"/>
        </w:rPr>
        <w:t xml:space="preserve"> and a </w:t>
      </w:r>
      <w:proofErr w:type="spellStart"/>
      <w:r w:rsidRPr="00E9488B">
        <w:rPr>
          <w:color w:val="000000"/>
          <w:lang w:val="es-ES"/>
        </w:rPr>
        <w:t>filter-based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feature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selection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method</w:t>
      </w:r>
      <w:proofErr w:type="spellEnd"/>
      <w:r w:rsidRPr="00E9488B">
        <w:rPr>
          <w:color w:val="000000"/>
          <w:lang w:val="es-ES"/>
        </w:rPr>
        <w:t xml:space="preserve">. </w:t>
      </w:r>
      <w:proofErr w:type="spellStart"/>
      <w:r w:rsidRPr="00E9488B">
        <w:rPr>
          <w:color w:val="000000"/>
          <w:lang w:val="es-ES"/>
        </w:rPr>
        <w:t>Journal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of</w:t>
      </w:r>
      <w:proofErr w:type="spellEnd"/>
      <w:r w:rsidRPr="00E9488B">
        <w:rPr>
          <w:color w:val="000000"/>
          <w:lang w:val="es-ES"/>
        </w:rPr>
        <w:t xml:space="preserve"> Big Data, 11(23), 1-14.</w:t>
      </w:r>
    </w:p>
    <w:p w14:paraId="3E27A9FA" w14:textId="77777777" w:rsidR="00404C63" w:rsidRPr="00E9488B" w:rsidRDefault="00000000">
      <w:pPr>
        <w:spacing w:after="160"/>
        <w:jc w:val="both"/>
        <w:rPr>
          <w:lang w:val="es-ES"/>
        </w:rPr>
      </w:pPr>
      <w:r w:rsidRPr="00E9488B">
        <w:rPr>
          <w:color w:val="000000"/>
          <w:lang w:val="es-ES"/>
        </w:rPr>
        <w:t xml:space="preserve">Lichman, M. (2013). UCI Machine </w:t>
      </w:r>
      <w:proofErr w:type="spellStart"/>
      <w:r w:rsidRPr="00E9488B">
        <w:rPr>
          <w:color w:val="000000"/>
          <w:lang w:val="es-ES"/>
        </w:rPr>
        <w:t>Learning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Repository</w:t>
      </w:r>
      <w:proofErr w:type="spellEnd"/>
      <w:r w:rsidRPr="00E9488B">
        <w:rPr>
          <w:color w:val="000000"/>
          <w:lang w:val="es-ES"/>
        </w:rPr>
        <w:t xml:space="preserve">. </w:t>
      </w:r>
      <w:proofErr w:type="spellStart"/>
      <w:r w:rsidRPr="00E9488B">
        <w:rPr>
          <w:color w:val="000000"/>
          <w:lang w:val="es-ES"/>
        </w:rPr>
        <w:t>University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of</w:t>
      </w:r>
      <w:proofErr w:type="spellEnd"/>
      <w:r w:rsidRPr="00E9488B">
        <w:rPr>
          <w:color w:val="000000"/>
          <w:lang w:val="es-ES"/>
        </w:rPr>
        <w:t xml:space="preserve"> California, Irvine, School </w:t>
      </w:r>
      <w:proofErr w:type="spellStart"/>
      <w:r w:rsidRPr="00E9488B">
        <w:rPr>
          <w:color w:val="000000"/>
          <w:lang w:val="es-ES"/>
        </w:rPr>
        <w:t>of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Information</w:t>
      </w:r>
      <w:proofErr w:type="spellEnd"/>
      <w:r w:rsidRPr="00E9488B">
        <w:rPr>
          <w:color w:val="000000"/>
          <w:lang w:val="es-ES"/>
        </w:rPr>
        <w:t xml:space="preserve"> and </w:t>
      </w:r>
      <w:proofErr w:type="spellStart"/>
      <w:r w:rsidRPr="00E9488B">
        <w:rPr>
          <w:color w:val="000000"/>
          <w:lang w:val="es-ES"/>
        </w:rPr>
        <w:t>Computer</w:t>
      </w:r>
      <w:proofErr w:type="spellEnd"/>
      <w:r w:rsidRPr="00E9488B">
        <w:rPr>
          <w:color w:val="000000"/>
          <w:lang w:val="es-ES"/>
        </w:rPr>
        <w:t xml:space="preserve"> </w:t>
      </w:r>
      <w:proofErr w:type="spellStart"/>
      <w:r w:rsidRPr="00E9488B">
        <w:rPr>
          <w:color w:val="000000"/>
          <w:lang w:val="es-ES"/>
        </w:rPr>
        <w:t>Sciences</w:t>
      </w:r>
      <w:proofErr w:type="spellEnd"/>
      <w:r w:rsidRPr="00E9488B">
        <w:rPr>
          <w:color w:val="000000"/>
          <w:lang w:val="es-ES"/>
        </w:rPr>
        <w:t>. http://archive.ics.uci.edu/ml</w:t>
      </w:r>
    </w:p>
    <w:sectPr w:rsidR="00404C63" w:rsidRPr="00E9488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41C58" w14:textId="77777777" w:rsidR="00A810BC" w:rsidRDefault="00A810BC">
      <w:r>
        <w:separator/>
      </w:r>
    </w:p>
  </w:endnote>
  <w:endnote w:type="continuationSeparator" w:id="0">
    <w:p w14:paraId="6BA99C69" w14:textId="77777777" w:rsidR="00A810BC" w:rsidRDefault="00A81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EAD47" w14:textId="77777777" w:rsidR="00404C63" w:rsidRDefault="00000000">
    <w:pPr>
      <w:jc w:val="center"/>
    </w:pPr>
    <w:proofErr w:type="spellStart"/>
    <w:r>
      <w:rPr>
        <w:color w:val="888888"/>
        <w:sz w:val="18"/>
        <w:szCs w:val="18"/>
      </w:rPr>
      <w:t>CréditoML</w:t>
    </w:r>
    <w:proofErr w:type="spellEnd"/>
    <w:r>
      <w:rPr>
        <w:color w:val="888888"/>
        <w:sz w:val="18"/>
        <w:szCs w:val="18"/>
      </w:rPr>
      <w:t xml:space="preserve"> — Informe </w:t>
    </w:r>
    <w:proofErr w:type="gramStart"/>
    <w:r>
      <w:rPr>
        <w:color w:val="888888"/>
        <w:sz w:val="18"/>
        <w:szCs w:val="18"/>
      </w:rPr>
      <w:t>Final  |</w:t>
    </w:r>
    <w:proofErr w:type="gramEnd"/>
    <w:r>
      <w:rPr>
        <w:color w:val="888888"/>
        <w:sz w:val="18"/>
        <w:szCs w:val="18"/>
      </w:rPr>
      <w:t xml:space="preserve">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9488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753B7" w14:textId="77777777" w:rsidR="00A810BC" w:rsidRDefault="00A810BC">
      <w:r>
        <w:separator/>
      </w:r>
    </w:p>
  </w:footnote>
  <w:footnote w:type="continuationSeparator" w:id="0">
    <w:p w14:paraId="6575AA0E" w14:textId="77777777" w:rsidR="00A810BC" w:rsidRDefault="00A810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5808"/>
    <w:multiLevelType w:val="hybridMultilevel"/>
    <w:tmpl w:val="C34CDDA8"/>
    <w:lvl w:ilvl="0" w:tplc="1BD8B794">
      <w:start w:val="1"/>
      <w:numFmt w:val="bullet"/>
      <w:lvlText w:val="●"/>
      <w:lvlJc w:val="left"/>
      <w:pPr>
        <w:ind w:left="720" w:hanging="360"/>
      </w:pPr>
    </w:lvl>
    <w:lvl w:ilvl="1" w:tplc="45BEE06A">
      <w:start w:val="1"/>
      <w:numFmt w:val="bullet"/>
      <w:lvlText w:val="○"/>
      <w:lvlJc w:val="left"/>
      <w:pPr>
        <w:ind w:left="1440" w:hanging="360"/>
      </w:pPr>
    </w:lvl>
    <w:lvl w:ilvl="2" w:tplc="E0908934">
      <w:start w:val="1"/>
      <w:numFmt w:val="bullet"/>
      <w:lvlText w:val="■"/>
      <w:lvlJc w:val="left"/>
      <w:pPr>
        <w:ind w:left="2160" w:hanging="360"/>
      </w:pPr>
    </w:lvl>
    <w:lvl w:ilvl="3" w:tplc="39F84EF6">
      <w:start w:val="1"/>
      <w:numFmt w:val="bullet"/>
      <w:lvlText w:val="●"/>
      <w:lvlJc w:val="left"/>
      <w:pPr>
        <w:ind w:left="2880" w:hanging="360"/>
      </w:pPr>
    </w:lvl>
    <w:lvl w:ilvl="4" w:tplc="9C526BE8">
      <w:start w:val="1"/>
      <w:numFmt w:val="bullet"/>
      <w:lvlText w:val="○"/>
      <w:lvlJc w:val="left"/>
      <w:pPr>
        <w:ind w:left="3600" w:hanging="360"/>
      </w:pPr>
    </w:lvl>
    <w:lvl w:ilvl="5" w:tplc="33140286">
      <w:start w:val="1"/>
      <w:numFmt w:val="bullet"/>
      <w:lvlText w:val="■"/>
      <w:lvlJc w:val="left"/>
      <w:pPr>
        <w:ind w:left="4320" w:hanging="360"/>
      </w:pPr>
    </w:lvl>
    <w:lvl w:ilvl="6" w:tplc="0EF0824C">
      <w:start w:val="1"/>
      <w:numFmt w:val="bullet"/>
      <w:lvlText w:val="●"/>
      <w:lvlJc w:val="left"/>
      <w:pPr>
        <w:ind w:left="5040" w:hanging="360"/>
      </w:pPr>
    </w:lvl>
    <w:lvl w:ilvl="7" w:tplc="3F3A00CA">
      <w:start w:val="1"/>
      <w:numFmt w:val="bullet"/>
      <w:lvlText w:val="●"/>
      <w:lvlJc w:val="left"/>
      <w:pPr>
        <w:ind w:left="5760" w:hanging="360"/>
      </w:pPr>
    </w:lvl>
    <w:lvl w:ilvl="8" w:tplc="92707E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956949"/>
    <w:multiLevelType w:val="hybridMultilevel"/>
    <w:tmpl w:val="B2806F78"/>
    <w:lvl w:ilvl="0" w:tplc="AE64A67C">
      <w:start w:val="1"/>
      <w:numFmt w:val="bullet"/>
      <w:lvlText w:val="•"/>
      <w:lvlJc w:val="left"/>
      <w:pPr>
        <w:ind w:left="720" w:hanging="360"/>
      </w:pPr>
    </w:lvl>
    <w:lvl w:ilvl="1" w:tplc="62665CFC">
      <w:numFmt w:val="decimal"/>
      <w:lvlText w:val=""/>
      <w:lvlJc w:val="left"/>
    </w:lvl>
    <w:lvl w:ilvl="2" w:tplc="C7D4BE02">
      <w:numFmt w:val="decimal"/>
      <w:lvlText w:val=""/>
      <w:lvlJc w:val="left"/>
    </w:lvl>
    <w:lvl w:ilvl="3" w:tplc="E578CE74">
      <w:numFmt w:val="decimal"/>
      <w:lvlText w:val=""/>
      <w:lvlJc w:val="left"/>
    </w:lvl>
    <w:lvl w:ilvl="4" w:tplc="B7FCC542">
      <w:numFmt w:val="decimal"/>
      <w:lvlText w:val=""/>
      <w:lvlJc w:val="left"/>
    </w:lvl>
    <w:lvl w:ilvl="5" w:tplc="14ECEDDC">
      <w:numFmt w:val="decimal"/>
      <w:lvlText w:val=""/>
      <w:lvlJc w:val="left"/>
    </w:lvl>
    <w:lvl w:ilvl="6" w:tplc="AD44A7E8">
      <w:numFmt w:val="decimal"/>
      <w:lvlText w:val=""/>
      <w:lvlJc w:val="left"/>
    </w:lvl>
    <w:lvl w:ilvl="7" w:tplc="EC005C7A">
      <w:numFmt w:val="decimal"/>
      <w:lvlText w:val=""/>
      <w:lvlJc w:val="left"/>
    </w:lvl>
    <w:lvl w:ilvl="8" w:tplc="29924BF2">
      <w:numFmt w:val="decimal"/>
      <w:lvlText w:val=""/>
      <w:lvlJc w:val="left"/>
    </w:lvl>
  </w:abstractNum>
  <w:num w:numId="1" w16cid:durableId="1007515135">
    <w:abstractNumId w:val="0"/>
    <w:lvlOverride w:ilvl="0">
      <w:startOverride w:val="1"/>
    </w:lvlOverride>
  </w:num>
  <w:num w:numId="2" w16cid:durableId="5226674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C63"/>
    <w:rsid w:val="00404C63"/>
    <w:rsid w:val="00A810BC"/>
    <w:rsid w:val="00C109AF"/>
    <w:rsid w:val="00E9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57CC4"/>
  <w15:docId w15:val="{8B40A343-B0AD-D941-8D06-86B84677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4FA8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C7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1490</Words>
  <Characters>8097</Characters>
  <Application>Microsoft Office Word</Application>
  <DocSecurity>0</DocSecurity>
  <Lines>352</Lines>
  <Paragraphs>252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Cossich</dc:creator>
  <cp:lastModifiedBy>Roberto Cossich Escobar</cp:lastModifiedBy>
  <cp:revision>2</cp:revision>
  <dcterms:created xsi:type="dcterms:W3CDTF">2026-05-13T23:22:00Z</dcterms:created>
  <dcterms:modified xsi:type="dcterms:W3CDTF">2026-05-13T23:24:00Z</dcterms:modified>
</cp:coreProperties>
</file>