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5132" w:val="clear"/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48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F5132"/>
          <w:sz w:val="160"/>
          <w:szCs w:val="160"/>
        </w:rPr>
        <w:t xml:space="preserve">RT</w:t>
      </w:r>
      <w:r>
        <w:rPr>
          <w:rFonts w:ascii="Calibri" w:cs="Calibri" w:eastAsia="Calibri" w:hAnsi="Calibri"/>
          <w:b w:val="false"/>
          <w:bCs w:val="false"/>
          <w:color w:val="334155"/>
          <w:sz w:val="80"/>
          <w:szCs w:val="80"/>
        </w:rPr>
        <w:t xml:space="preserve"> Consultoria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Gestão financeira e compliance para OSCs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0F5132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48"/>
          <w:szCs w:val="48"/>
        </w:rPr>
        <w:t xml:space="preserve">PLANO ESTRATÉGICO DE NEGÓCIO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64748B"/>
          <w:sz w:val="32"/>
          <w:szCs w:val="32"/>
        </w:rPr>
        <w:t xml:space="preserve">2026 — 2028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0F5132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0" w:before="240"/>
      </w:pPr>
      <w: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Documento interno — uso restrito aos sócios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Versão 1.0 — Maio/2026</w:t>
      </w:r>
    </w:p>
    <w:p>
      <w:r>
        <w:br w:type="page"/>
      </w:r>
    </w:p>
    <w:p>
      <w:pPr>
        <w:shd w:fill="0F5132" w:val="clear"/>
        <w:spacing w:after="80" w:before="2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Índice</w:t>
      </w:r>
    </w:p>
    <w:p>
      <w:pPr>
        <w:spacing w:after="0" w:before="60"/>
      </w:pPr>
      <w:r>
        <w:t xml:space="preserve"/>
      </w:r>
    </w:p>
    <w:p>
      <w:pPr>
        <w:pBdr>
          <w:bottom w:val="single" w:color="CBD5E1" w:sz="2"/>
        </w:pBdr>
        <w:shd w:fill="F1F5F9" w:val="clear"/>
        <w:tabs>
          <w:tab w:val="right" w:pos="8640" w:leader="dot"/>
        </w:tabs>
        <w:spacing w:after="40" w:before="40"/>
        <w:ind w:left="240" w:right="240"/>
      </w:pPr>
      <w:r>
        <w:rPr>
          <w:rFonts w:ascii="Calibri" w:cs="Calibri" w:eastAsia="Calibri" w:hAnsi="Calibri"/>
          <w:b/>
          <w:bCs/>
          <w:color w:val="0F5132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Visão Geral do Negócio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	3</w:t>
      </w:r>
    </w:p>
    <w:p>
      <w:pPr>
        <w:pBdr>
          <w:bottom w:val="single" w:color="CBD5E1" w:sz="2"/>
        </w:pBdr>
        <w:shd w:fill="FFFFFF" w:val="clear"/>
        <w:tabs>
          <w:tab w:val="right" w:pos="8640" w:leader="dot"/>
        </w:tabs>
        <w:spacing w:after="40" w:before="40"/>
        <w:ind w:left="240" w:right="240"/>
      </w:pPr>
      <w:r>
        <w:rPr>
          <w:rFonts w:ascii="Calibri" w:cs="Calibri" w:eastAsia="Calibri" w:hAnsi="Calibri"/>
          <w:b/>
          <w:bCs/>
          <w:color w:val="0F5132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Diagnóstico Atual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	4</w:t>
      </w:r>
    </w:p>
    <w:p>
      <w:pPr>
        <w:pBdr>
          <w:bottom w:val="single" w:color="CBD5E1" w:sz="2"/>
        </w:pBdr>
        <w:shd w:fill="F1F5F9" w:val="clear"/>
        <w:tabs>
          <w:tab w:val="right" w:pos="8640" w:leader="dot"/>
        </w:tabs>
        <w:spacing w:after="40" w:before="40"/>
        <w:ind w:left="240" w:right="240"/>
      </w:pPr>
      <w:r>
        <w:rPr>
          <w:rFonts w:ascii="Calibri" w:cs="Calibri" w:eastAsia="Calibri" w:hAnsi="Calibri"/>
          <w:b/>
          <w:bCs/>
          <w:color w:val="0F5132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ICP &amp; Personas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	5</w:t>
      </w:r>
    </w:p>
    <w:p>
      <w:pPr>
        <w:pBdr>
          <w:bottom w:val="single" w:color="CBD5E1" w:sz="2"/>
        </w:pBdr>
        <w:shd w:fill="FFFFFF" w:val="clear"/>
        <w:tabs>
          <w:tab w:val="right" w:pos="8640" w:leader="dot"/>
        </w:tabs>
        <w:spacing w:after="40" w:before="40"/>
        <w:ind w:left="240" w:right="240"/>
      </w:pPr>
      <w:r>
        <w:rPr>
          <w:rFonts w:ascii="Calibri" w:cs="Calibri" w:eastAsia="Calibri" w:hAnsi="Calibri"/>
          <w:b/>
          <w:bCs/>
          <w:color w:val="0F5132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Portfólio &amp; Fit com ICP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	8</w:t>
      </w:r>
    </w:p>
    <w:p>
      <w:pPr>
        <w:pBdr>
          <w:bottom w:val="single" w:color="CBD5E1" w:sz="2"/>
        </w:pBdr>
        <w:shd w:fill="F1F5F9" w:val="clear"/>
        <w:tabs>
          <w:tab w:val="right" w:pos="8640" w:leader="dot"/>
        </w:tabs>
        <w:spacing w:after="40" w:before="40"/>
        <w:ind w:left="240" w:right="240"/>
      </w:pPr>
      <w:r>
        <w:rPr>
          <w:rFonts w:ascii="Calibri" w:cs="Calibri" w:eastAsia="Calibri" w:hAnsi="Calibri"/>
          <w:b/>
          <w:bCs/>
          <w:color w:val="0F5132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Estratégia de Crescimento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	9</w:t>
      </w:r>
    </w:p>
    <w:p>
      <w:pPr>
        <w:pBdr>
          <w:bottom w:val="single" w:color="CBD5E1" w:sz="2"/>
        </w:pBdr>
        <w:shd w:fill="FFFFFF" w:val="clear"/>
        <w:tabs>
          <w:tab w:val="right" w:pos="8640" w:leader="dot"/>
        </w:tabs>
        <w:spacing w:after="40" w:before="40"/>
        <w:ind w:left="240" w:right="240"/>
      </w:pPr>
      <w:r>
        <w:rPr>
          <w:rFonts w:ascii="Calibri" w:cs="Calibri" w:eastAsia="Calibri" w:hAnsi="Calibri"/>
          <w:b/>
          <w:bCs/>
          <w:color w:val="0F5132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Metas &amp; Indicadores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	10</w:t>
      </w:r>
    </w:p>
    <w:p>
      <w:pPr>
        <w:pBdr>
          <w:bottom w:val="single" w:color="CBD5E1" w:sz="2"/>
        </w:pBdr>
        <w:shd w:fill="F1F5F9" w:val="clear"/>
        <w:tabs>
          <w:tab w:val="right" w:pos="8640" w:leader="dot"/>
        </w:tabs>
        <w:spacing w:after="40" w:before="40"/>
        <w:ind w:left="240" w:right="240"/>
      </w:pPr>
      <w:r>
        <w:rPr>
          <w:rFonts w:ascii="Calibri" w:cs="Calibri" w:eastAsia="Calibri" w:hAnsi="Calibri"/>
          <w:b/>
          <w:bCs/>
          <w:color w:val="0F5132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Visão de Longo Prazo 2026–2028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	11</w:t>
      </w:r>
    </w:p>
    <w:p>
      <w:pPr>
        <w:pBdr>
          <w:bottom w:val="single" w:color="CBD5E1" w:sz="2"/>
        </w:pBdr>
        <w:shd w:fill="FFFFFF" w:val="clear"/>
        <w:tabs>
          <w:tab w:val="right" w:pos="8640" w:leader="dot"/>
        </w:tabs>
        <w:spacing w:after="40" w:before="40"/>
        <w:ind w:left="240" w:right="240"/>
      </w:pPr>
      <w:r>
        <w:rPr>
          <w:rFonts w:ascii="Calibri" w:cs="Calibri" w:eastAsia="Calibri" w:hAnsi="Calibri"/>
          <w:b/>
          <w:bCs/>
          <w:color w:val="0F5132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Próximos 90 Dias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	12</w:t>
      </w:r>
    </w:p>
    <w:p>
      <w:pPr>
        <w:pBdr>
          <w:bottom w:val="single" w:color="CBD5E1" w:sz="2"/>
        </w:pBdr>
        <w:shd w:fill="F1F5F9" w:val="clear"/>
        <w:tabs>
          <w:tab w:val="right" w:pos="8640" w:leader="dot"/>
        </w:tabs>
        <w:spacing w:after="40" w:before="40"/>
        <w:ind w:left="240" w:right="240"/>
      </w:pPr>
      <w:r>
        <w:rPr>
          <w:rFonts w:ascii="Calibri" w:cs="Calibri" w:eastAsia="Calibri" w:hAnsi="Calibri"/>
          <w:b/>
          <w:bCs/>
          <w:color w:val="0F5132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Prospecção Ativa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	14</w:t>
      </w:r>
    </w:p>
    <w:p>
      <w:r>
        <w:br w:type="page"/>
      </w:r>
    </w:p>
    <w:p>
      <w:pPr>
        <w:shd w:fill="0F5132" w:val="clear"/>
        <w:spacing w:after="80" w:before="280"/>
        <w:ind w:left="240" w:right="240"/>
      </w:pPr>
      <w:r>
        <w:rPr>
          <w:rFonts w:ascii="Calibri" w:cs="Calibri" w:eastAsia="Calibri" w:hAnsi="Calibri"/>
          <w:b/>
          <w:bCs/>
          <w:color w:val="D1FAE5"/>
          <w:sz w:val="28"/>
          <w:szCs w:val="28"/>
        </w:rPr>
        <w:t xml:space="preserve">1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Visão Geral do Negócio</w:t>
      </w:r>
    </w:p>
    <w:p>
      <w:pPr>
        <w:spacing w:after="0" w:before="6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1.1 O que é a RT Consultoria</w:t>
      </w:r>
    </w:p>
    <w:p>
      <w:pPr>
        <w:spacing w:after="60" w:before="40"/>
        <w:ind w:left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RT Consultoria é especializada em gestão financeira e compliance para Organizações da Sociedade Civil (OSCs) que recebem repasses de recursos públicos. Atuamos 100% remotamente, com alcance nacional e possibilidade de atendimento presencial quando necessário.</w:t>
      </w:r>
    </w:p>
    <w:p>
      <w:pPr>
        <w:spacing w:after="0" w:before="60"/>
      </w:pPr>
      <w:r>
        <w:t xml:space="preserve"/>
      </w:r>
    </w:p>
    <w:p>
      <w:pPr>
        <w:spacing w:after="60" w:before="40"/>
        <w:ind w:left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Nosso trabalho protege organizações do Terceiro Setor dos riscos associados à má gestão de recursos públicos — glosas, sanções administrativas, devoluções com juros e correção monetária e perda de elegibilidade para novos contratos.</w:t>
      </w:r>
    </w:p>
    <w:p>
      <w:pPr>
        <w:spacing w:after="0" w:before="6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1.2 Propósito</w:t>
      </w:r>
    </w:p>
    <w:p>
      <w:pPr>
        <w:pBdr>
          <w:left w:val="single" w:color="0F5132" w:sz="24" w:space="8"/>
        </w:pBdr>
        <w:shd w:fill="ECFDF5" w:val="clear"/>
        <w:spacing w:after="120" w:before="120"/>
        <w:ind w:left="240" w:right="240"/>
      </w:pPr>
      <w:r>
        <w:rPr>
          <w:rFonts w:ascii="Calibri" w:cs="Calibri" w:eastAsia="Calibri" w:hAnsi="Calibri"/>
          <w:b/>
          <w:bCs/>
          <w:i/>
          <w:iCs/>
          <w:color w:val="166534"/>
          <w:sz w:val="26"/>
          <w:szCs w:val="26"/>
        </w:rPr>
        <w:t xml:space="preserve">"Garantir que boas organizações não percam contratos por má gestão financeira."</w:t>
      </w:r>
    </w:p>
    <w:p>
      <w:pPr>
        <w:spacing w:after="0" w:before="6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1.3 Posicionamento</w:t>
      </w:r>
    </w:p>
    <w:p>
      <w:pPr>
        <w:spacing w:after="60" w:before="40"/>
        <w:ind w:left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RT atua em nicho de alta especificidade: o compliance financeiro de OSCs com contratos governamentais. Esse mercado é pouco atendido por contabilidades tradicionais, que não dominam a complexidade das exigências dos Tribunais de Contas.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✅  Com a RT Consultoria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F1D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⚠️  Sem a RT Consultoria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Conformidade com TCE garantida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1D1D"/>
                <w:sz w:val="20"/>
                <w:szCs w:val="20"/>
              </w:rPr>
              <w:t xml:space="preserve">Erros na classificação de despesas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Prestações organizadas e no prazo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1D1D"/>
                <w:sz w:val="20"/>
                <w:szCs w:val="20"/>
              </w:rPr>
              <w:t xml:space="preserve">Prestações rejeitadas ou pendentes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Aplicação correta por rubrica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1D1D"/>
                <w:sz w:val="20"/>
                <w:szCs w:val="20"/>
              </w:rPr>
              <w:t xml:space="preserve">Glosas e abatimento de repasses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Segurança jurídica e financeira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1D1D"/>
                <w:sz w:val="20"/>
                <w:szCs w:val="20"/>
              </w:rPr>
              <w:t xml:space="preserve">Devolução com juros e correção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Equipe focada no propósito da OSC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1D1D"/>
                <w:sz w:val="20"/>
                <w:szCs w:val="20"/>
              </w:rPr>
              <w:t xml:space="preserve">Perda de contratos públicos</w:t>
            </w:r>
          </w:p>
        </w:tc>
      </w:tr>
    </w:tbl>
    <w:p>
      <w:r>
        <w:br w:type="page"/>
      </w:r>
    </w:p>
    <w:p>
      <w:pPr>
        <w:shd w:fill="0F5132" w:val="clear"/>
        <w:spacing w:after="80" w:before="280"/>
        <w:ind w:left="240" w:right="240"/>
      </w:pPr>
      <w:r>
        <w:rPr>
          <w:rFonts w:ascii="Calibri" w:cs="Calibri" w:eastAsia="Calibri" w:hAnsi="Calibri"/>
          <w:b/>
          <w:bCs/>
          <w:color w:val="D1FAE5"/>
          <w:sz w:val="28"/>
          <w:szCs w:val="28"/>
        </w:rPr>
        <w:t xml:space="preserve">2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Diagnóstico Atual</w:t>
      </w:r>
    </w:p>
    <w:p>
      <w:pPr>
        <w:spacing w:after="0" w:before="6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2.1 Fase da Empresa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FASE
INÍCIO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 RT Consultoria está na fase de validação do modelo de negócio. Poucos clientes, crescimento orgânico ainda não estabelecido. Cada decisão de captação, precificação e posicionamento tem alto impacto no trajeto da empresa.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2.2 Forças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66534"/>
          <w:sz w:val="22"/>
          <w:szCs w:val="22"/>
        </w:rPr>
        <w:t xml:space="preserve">Especialização rara: compliance de OSCs com contratos públicos é nicho pouco coberto pelo mercado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66534"/>
          <w:sz w:val="22"/>
          <w:szCs w:val="22"/>
        </w:rPr>
        <w:t xml:space="preserve">Modelo remoto com alcance nacional elimina limitação geográfica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66534"/>
          <w:sz w:val="22"/>
          <w:szCs w:val="22"/>
        </w:rPr>
        <w:t xml:space="preserve">Portfólio bem estruturado: 3 planos mensais + 5 serviços avulsos com precificação clara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66534"/>
          <w:sz w:val="22"/>
          <w:szCs w:val="22"/>
        </w:rPr>
        <w:t xml:space="preserve">Lógica de upsell natural: Conformidade → Gestão → Estruturação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66534"/>
          <w:sz w:val="22"/>
          <w:szCs w:val="22"/>
        </w:rPr>
        <w:t xml:space="preserve">Serviços avulsos funcionam como porta de entrada de baixo risco para o cliente</w:t>
      </w:r>
    </w:p>
    <w:p>
      <w:pPr>
        <w:spacing w:after="0" w:before="12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2.3 Riscos e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7F1D1D"/>
          <w:sz w:val="22"/>
          <w:szCs w:val="22"/>
        </w:rPr>
        <w:t xml:space="preserve">Base de clientes ainda pequena — receita recorrente não está consolidada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7F1D1D"/>
          <w:sz w:val="22"/>
          <w:szCs w:val="22"/>
        </w:rPr>
        <w:t xml:space="preserve">Dependência de indicações enquanto não há canal de captação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7F1D1D"/>
          <w:sz w:val="22"/>
          <w:szCs w:val="22"/>
        </w:rPr>
        <w:t xml:space="preserve">ICP e personas nunca foram formalizados — captação sem alvo claro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7F1D1D"/>
          <w:sz w:val="22"/>
          <w:szCs w:val="22"/>
        </w:rPr>
        <w:t xml:space="preserve">Sem métricas de acompanhamento (MRR, CAC, churn) — crescimento difícil de monitorar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7F1D1D"/>
          <w:sz w:val="22"/>
          <w:szCs w:val="22"/>
        </w:rPr>
        <w:t xml:space="preserve">Capacidade operacional limitada nos planos intensivos (Estruturação: 12–16h/mês)</w:t>
      </w:r>
    </w:p>
    <w:p>
      <w:pPr>
        <w:spacing w:after="0" w:before="12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2.4 Oportunidade de Mercado</w:t>
      </w:r>
    </w:p>
    <w:p>
      <w:pPr>
        <w:spacing w:after="60" w:before="40"/>
        <w:ind w:left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Brasil tem mais de 820 mil OSCs ativas (IBGE), das quais uma parcela significativa opera com contratos e convênios com o poder público. A exigência de compliance é crescente — o Marco Regulatório das OSCs (Lei 13.019/2014) e os Tribunais de Contas têm endurecido as exigências de prestação de contas.</w:t>
      </w:r>
    </w:p>
    <w:p>
      <w:pPr>
        <w:spacing w:after="0" w:before="60"/>
      </w:pPr>
      <w:r>
        <w:t xml:space="preserve"/>
      </w:r>
    </w:p>
    <w:p>
      <w:pPr>
        <w:spacing w:after="60" w:before="40"/>
        <w:ind w:left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OSCs dos setores de saúde e educação concentram os maiores volumes de repasse e, portanto, os maiores riscos — e a maior disposição para pagar por gestão especializada.</w:t>
      </w:r>
    </w:p>
    <w:p>
      <w:r>
        <w:br w:type="page"/>
      </w:r>
    </w:p>
    <w:p>
      <w:pPr>
        <w:shd w:fill="0F5132" w:val="clear"/>
        <w:spacing w:after="80" w:before="280"/>
        <w:ind w:left="240" w:right="240"/>
      </w:pPr>
      <w:r>
        <w:rPr>
          <w:rFonts w:ascii="Calibri" w:cs="Calibri" w:eastAsia="Calibri" w:hAnsi="Calibri"/>
          <w:b/>
          <w:bCs/>
          <w:color w:val="D1FAE5"/>
          <w:sz w:val="28"/>
          <w:szCs w:val="28"/>
        </w:rPr>
        <w:t xml:space="preserve">3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ICP &amp; Personas</w:t>
      </w:r>
    </w:p>
    <w:p>
      <w:pPr>
        <w:spacing w:after="0" w:before="60"/>
      </w:pPr>
      <w:r>
        <w:t xml:space="preserve"/>
      </w:r>
    </w:p>
    <w:p>
      <w:pPr>
        <w:spacing w:after="60" w:before="40"/>
        <w:ind w:left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ICP (Ideal Customer Profile) da RT Consultoria são OSCs dos setores de Saúde e Educação que recebem repasses públicos e enfrentam dificuldades de compliance financeiro. A segmentação por tamanho determina qual plano é o mais adequado.</w:t>
      </w:r>
    </w:p>
    <w:p>
      <w:pPr>
        <w:spacing w:after="0" w:before="6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3.1 Segmentação por Tamanho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Volume de Repasse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Perfil Operacional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Plano Recomendado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Pequeno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Até R$ 300 mil/ano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1–2 contratos, equipe enxuta, gestão informal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→ Conformidade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Médio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R$ 300 mil – R$ 1,5 mi/ano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3–8 contratos, setor adm. estruturado, histórico de pendências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→ Gestão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Grande / Reest.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Acima de R$ 1,5 mi/ano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Múltiplos contratos, autuações anteriores ou novo contrato de alto valor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→ Estruturação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3.2 Personas</w:t>
      </w:r>
    </w:p>
    <w:p>
      <w:pPr>
        <w:spacing w:after="0" w:before="60"/>
      </w:pPr>
      <w:r>
        <w:t xml:space="preserve"/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Persona A — Marina, Diretora Executiva de OSC de Saúde (Pequeno Porte)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66534" w:sz="8"/>
              <w:left w:val="single" w:color="166534" w:sz="8"/>
              <w:bottom w:val="single" w:color="166534" w:sz="8"/>
              <w:right w:val="single" w:color="166534" w:sz="8"/>
            </w:tcBorders>
            <w:shd w:fill="16653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Marina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42 anos | Diretora Executiva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Setor: Saúde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Porte: Pequeno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Repasse: até R$ 300 mil/ano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D1FAE5"/>
                <w:sz w:val="18"/>
                <w:szCs w:val="18"/>
              </w:rPr>
              <w:t xml:space="preserve">Plano ideal:</w:t>
            </w:r>
          </w:p>
          <w:p>
            <w:pPr>
              <w:shd w:fill="1B4F2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EF3C7"/>
                <w:sz w:val="22"/>
                <w:szCs w:val="22"/>
              </w:rPr>
              <w:t xml:space="preserve">Conformidade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Contexto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Dirige uma clínica comunitária conveniada com o município. Tem 1 contrato de repasse, equipe de 8 pessoas. Ela própria cuida da gestão administrativa e financeira — não tem contador especializado em OSCs.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Principais dores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→ Medo de errar na classificação de despesas e ter recurso glosado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→ Não sabe o que o TCE vai exigir na prestação anual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→ Falta tempo: quer terceirizar sem perder controle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Como encontra a RT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Indicação de outra OSC do município ou pesquisa no Google após receber notificação do órgão financiador.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Argumento decisivo</w:t>
            </w:r>
          </w:p>
          <w:p>
            <w:pPr>
              <w:pBdr>
                <w:left w:val="single" w:color="166534" w:sz="12" w:space="6"/>
              </w:pBdr>
              <w:shd w:fill="ECFDF5" w:val="clear"/>
              <w:spacing w:after="0" w:before="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166534"/>
                <w:sz w:val="20"/>
                <w:szCs w:val="20"/>
              </w:rPr>
              <w:t xml:space="preserve">"Prestação de contas organizada e no prazo, sem você precisar entender de TCE."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Persona B — Roberto, Coordenador Financeiro de OSC de Educação (Médio Porte)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Roberto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38 anos | Coord. Financeiro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Setor: Educação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Porte: Médio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Repasse: R$ 500 mil–1,2 mi/ano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D1FAE5"/>
                <w:sz w:val="18"/>
                <w:szCs w:val="18"/>
              </w:rPr>
              <w:t xml:space="preserve">Plano ideal:</w:t>
            </w:r>
          </w:p>
          <w:p>
            <w:pPr>
              <w:shd w:fill="1B4F2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EF3C7"/>
                <w:sz w:val="22"/>
                <w:szCs w:val="22"/>
              </w:rPr>
              <w:t xml:space="preserve">Gestão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Contexto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Trabalha em uma ONG que mantém 2 escolas de período integral em parceria com Secretaria de Educação. Gerencia 5 contratos simultaneamente. Já teve uma prestação rejeitada parcialmente no ano passado.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Principais dores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→ Conciliar múltiplos contratos com rubricas diferentes é caótico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→ Prestação mensal consome tempo que deveria ir para a gestão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→ Quer relatório comparativo para apresentar à diretoria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Como encontra a RT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LinkedIn, indicação de colega do setor, ou começa com Diagnóstico de Conformidade após a rejeição da prestação.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Argumento decisivo</w:t>
            </w:r>
          </w:p>
          <w:p>
            <w:pPr>
              <w:pBdr>
                <w:left w:val="single" w:color="1E3A5F" w:sz="12" w:space="6"/>
              </w:pBdr>
              <w:shd w:fill="ECFDF5" w:val="clear"/>
              <w:spacing w:after="0" w:before="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0"/>
                <w:szCs w:val="20"/>
              </w:rPr>
              <w:t xml:space="preserve">"Ciclo completo mensal, com relatório comparativo de rubricas que você usa para tomar decisão."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92400E"/>
          <w:sz w:val="22"/>
          <w:szCs w:val="22"/>
        </w:rPr>
        <w:t xml:space="preserve">Persona C — Claudia, Presidente de OSC em Crescimento (Reestruturação)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2400E" w:sz="8"/>
              <w:left w:val="single" w:color="92400E" w:sz="8"/>
              <w:bottom w:val="single" w:color="92400E" w:sz="8"/>
              <w:right w:val="single" w:color="92400E" w:sz="8"/>
            </w:tcBorders>
            <w:shd w:fill="92400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Claudia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51 anos | Presidente / Fundadora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Setor: Saúde ou Educação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Porte: Médio-Grande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Repasse: acima de R$ 1,5 mi/ano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D1FAE5"/>
                <w:sz w:val="18"/>
                <w:szCs w:val="18"/>
              </w:rPr>
              <w:t xml:space="preserve">Plano ideal:</w:t>
            </w:r>
          </w:p>
          <w:p>
            <w:pPr>
              <w:shd w:fill="1B4F2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EF3C7"/>
                <w:sz w:val="22"/>
                <w:szCs w:val="22"/>
              </w:rPr>
              <w:t xml:space="preserve">Estruturação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Contexto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Fundou uma OSC há 12 anos. Cresceu rápido nos últimos 2 anos com novo contrato estadual de grande porte. Os processos internos não acompanharam o crescimento. Sofreu autuação do TCE e tem repasse parcialmente suspenso.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Principais dores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→ Autuação ativa e risco de inelegibilidade para novos contratos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→ Processos internos inexistentes ou desatualizados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→ Equipe sem capacitação em compliance — erros sistemáticos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Como encontra a RT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Urgência pós-autuação: busca ativa, indicação jurídica ou contato direto após evento do setor.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Argumento decisivo</w:t>
            </w:r>
          </w:p>
          <w:p>
            <w:pPr>
              <w:pBdr>
                <w:left w:val="single" w:color="92400E" w:sz="12" w:space="6"/>
              </w:pBdr>
              <w:shd w:fill="ECFDF5" w:val="clear"/>
              <w:spacing w:after="0" w:before="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92400E"/>
                <w:sz w:val="20"/>
                <w:szCs w:val="20"/>
              </w:rPr>
              <w:t xml:space="preserve">"Diagnóstico em 7 dias + implantação de processos + capacitação da equipe. Sai do risco para a regularidade."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hd w:fill="0F5132" w:val="clear"/>
        <w:spacing w:after="80" w:before="280"/>
        <w:ind w:left="240" w:right="240"/>
      </w:pPr>
      <w:r>
        <w:rPr>
          <w:rFonts w:ascii="Calibri" w:cs="Calibri" w:eastAsia="Calibri" w:hAnsi="Calibri"/>
          <w:b/>
          <w:bCs/>
          <w:color w:val="D1FAE5"/>
          <w:sz w:val="28"/>
          <w:szCs w:val="28"/>
        </w:rPr>
        <w:t xml:space="preserve">4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Portfólio &amp; Fit com ICP</w:t>
      </w:r>
    </w:p>
    <w:p>
      <w:pPr>
        <w:spacing w:after="0" w:before="60"/>
      </w:pPr>
      <w:r>
        <w:t xml:space="preserve"/>
      </w:r>
    </w:p>
    <w:p>
      <w:pPr>
        <w:spacing w:after="60" w:before="40"/>
        <w:ind w:left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lógica do portfólio é escalonada: cada plano resolve um nível maior de complexidade, e a progressão natural do cliente é subir de plano conforme cresce e percebe o valor entregue. Os serviços avulsos funcionam como porta de entrada.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60"/>
        <w:gridCol w:w="14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Plano / Serviço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Persona-Alvo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Esforço/mês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Plano Conformidade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Marina (Saúde Pequeno)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R$ 2.000–2.500/mês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4–5 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Entrada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Plano Gestão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Roberto (Educ. Médio)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R$ 4.000–5.000/mês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8–10 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Principal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Plano Estruturação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Claudia (Grande/Reest.)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R$ 6.000–8.000/mês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12–16 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Premium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Diagnóstico de Conformidade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Todas as personas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R$ 3.000–5.000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6–10 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Porta de entrada ⭐⭐⭐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Regularização PC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Claudia (urgência)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 partir de R$ 2.000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Variável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Alta urgência ⭐⭐⭐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Elaboração Plano de Trabalho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Marina, Roberto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R$ 2.000–4.000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4–8 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Recorrente ⭐⭐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Capacitação PC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Claudia, Roberto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R$ 4.000/turma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 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Fidelização ⭐⭐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Consultoria Pontual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Clientes em plano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R$ 1.000–1.500/sessão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2–3 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Complementar ⭐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4.1 Lógica de Upsell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"/>
        <w:gridCol w:w="2000"/>
        <w:gridCol w:w="480"/>
        <w:gridCol w:w="2000"/>
        <w:gridCol w:w="480"/>
        <w:gridCol w:w="2000"/>
        <w:gridCol w:w="48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Avulso
(Diagnóstico)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Conformidade
(R$ 2–2,5k/mês)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Gestão
(R$ 4–5k/mês)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Estruturação
(R$ 6–8k/mês)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8"/>
                <w:szCs w:val="28"/>
              </w:rPr>
              <w:t xml:space="preserve">🏆</w:t>
            </w:r>
          </w:p>
        </w:tc>
      </w:tr>
    </w:tbl>
    <w:p>
      <w:r>
        <w:br w:type="page"/>
      </w:r>
    </w:p>
    <w:p>
      <w:pPr>
        <w:shd w:fill="0F5132" w:val="clear"/>
        <w:spacing w:after="80" w:before="280"/>
        <w:ind w:left="240" w:right="240"/>
      </w:pPr>
      <w:r>
        <w:rPr>
          <w:rFonts w:ascii="Calibri" w:cs="Calibri" w:eastAsia="Calibri" w:hAnsi="Calibri"/>
          <w:b/>
          <w:bCs/>
          <w:color w:val="D1FAE5"/>
          <w:sz w:val="28"/>
          <w:szCs w:val="28"/>
        </w:rPr>
        <w:t xml:space="preserve">5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Estratégia de Crescimento</w:t>
      </w:r>
    </w:p>
    <w:p>
      <w:pPr>
        <w:spacing w:after="0" w:before="6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5.1 Foco dos Próximos 12 Meses</w:t>
      </w:r>
    </w:p>
    <w:p>
      <w:pPr>
        <w:spacing w:after="60" w:before="40"/>
        <w:ind w:left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Na fase de início, o objetivo central é validar o modelo com 8–12 clientes recorrentes antes de escalar. O crescimento deve ser sustentável — cada novo cliente precisa gerar resultado visível e servir de referência para o próximo.</w:t>
      </w:r>
    </w:p>
    <w:p>
      <w:pPr>
        <w:spacing w:after="0" w:before="6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5.2 Canais de Captação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14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Como Ativar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Indicações ativas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Pedir indicação estruturada a cada cliente. Script de indicação. Bônus simbólico (desconto, mês extra).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Imediato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🔴 Alta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LinkedIn orgânico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Postar 2x/semana sobre compliance de OSCs: erros comuns, casos reais (anonimizados), dicas de TCE. Conectar com gestores.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30 dias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🔴 Alta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Parceria advogados/contadores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Identificar escritórios que atendem OSCs mas não fazem compliance. Propor indicação mútua.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60 dias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🟡 Média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Diagnóstico como isca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Divulgar o Diagnóstico como oferta de entrada (R$ 3–5k). Quase todo diagnóstico revela problemas que viram plano.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30 dias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🔴 Alta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Eventos do setor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Participar de encontros de OSCs e seminários de Terceiro Setor. Falar, não só ouvir.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90 dias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🟡 Média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WhatsApp / grupos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Entrar em grupos de gestores de OSC. Contribuir com conteúdo útil antes de vender.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30 dias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🟡 Média</w:t>
            </w:r>
          </w:p>
        </w:tc>
      </w:tr>
    </w:tbl>
    <w:p>
      <w:r>
        <w:br w:type="page"/>
      </w:r>
    </w:p>
    <w:p>
      <w:pPr>
        <w:shd w:fill="0F5132" w:val="clear"/>
        <w:spacing w:after="80" w:before="280"/>
        <w:ind w:left="240" w:right="240"/>
      </w:pPr>
      <w:r>
        <w:rPr>
          <w:rFonts w:ascii="Calibri" w:cs="Calibri" w:eastAsia="Calibri" w:hAnsi="Calibri"/>
          <w:b/>
          <w:bCs/>
          <w:color w:val="D1FAE5"/>
          <w:sz w:val="28"/>
          <w:szCs w:val="28"/>
        </w:rPr>
        <w:t xml:space="preserve">6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Metas &amp; Indicadores</w:t>
      </w:r>
    </w:p>
    <w:p>
      <w:pPr>
        <w:spacing w:after="0" w:before="60"/>
      </w:pPr>
      <w:r>
        <w:t xml:space="preserve"/>
      </w:r>
    </w:p>
    <w:p>
      <w:pPr>
        <w:spacing w:after="60" w:before="40"/>
        <w:ind w:left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Os indicadores abaixo são o painel de controle da RT Consultoria. Devem ser revisados mensalmente pelos sócios.</w:t>
      </w:r>
    </w:p>
    <w:p>
      <w:pPr>
        <w:spacing w:after="0" w:before="6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6.1 Metas de MRR — Progressão 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2000"/>
        <w:gridCol w:w="2100"/>
        <w:gridCol w:w="2100"/>
      </w:tblGrid>
      <w:tr>
        <w:trPr>
          <w:tblHeader/>
        </w:trPr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 6 meses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 12 meses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 24 meses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Clientes recorrentes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4–6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8–12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20–30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MRR (Receita Mensal Recorrente)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R$ 14–20k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R$ 30–50k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R$ 80–120k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Mix de planos (Conf./Gestão/Estr.)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60% / 30% / 10%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50% / 35% / 15%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40% / 40% / 20%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Serviços avulsos / mês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1–2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3–5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5–8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Taxa conversão avulso → recorrente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40%+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50%+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Churn mensal (meta)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&lt; 5%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&lt; 5%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&lt; 3%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6.2 Critério de Revisão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Reunião mensal dos sócios: revisar MRR, clientes ativos, churn e avanço nos canais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 MRR abaixo da meta em 2 meses consecutivos: revisar canal de captação prioritário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 churn &gt; 5%: entrevistar clientes que saíram — problema de entrega ou expectativa?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 diagnósticos não convertem em planos (&lt; 30%): revisar proposta de continuidade</w:t>
      </w:r>
    </w:p>
    <w:p>
      <w:r>
        <w:br w:type="page"/>
      </w:r>
    </w:p>
    <w:p>
      <w:pPr>
        <w:shd w:fill="0F5132" w:val="clear"/>
        <w:spacing w:after="80" w:before="280"/>
        <w:ind w:left="240" w:right="240"/>
      </w:pPr>
      <w:r>
        <w:rPr>
          <w:rFonts w:ascii="Calibri" w:cs="Calibri" w:eastAsia="Calibri" w:hAnsi="Calibri"/>
          <w:b/>
          <w:bCs/>
          <w:color w:val="D1FAE5"/>
          <w:sz w:val="28"/>
          <w:szCs w:val="28"/>
        </w:rPr>
        <w:t xml:space="preserve">7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Visão de Longo Prazo — 2026 a 2028</w:t>
      </w:r>
    </w:p>
    <w:p>
      <w:pPr>
        <w:spacing w:after="0" w:before="6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7.1 Onde a RT quer estar em 2028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2026
Validação</w:t>
            </w:r>
          </w:p>
        </w:tc>
        <w:tc>
          <w:tcPr>
            <w:tcW w:type="dxa" w:w="7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Modelo validado com 8–12 clientes recorrentes. MRR consolidado acima de R$ 30k. ICP e canais de captação definidos e testados.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2027
Tração</w:t>
            </w:r>
          </w:p>
        </w:tc>
        <w:tc>
          <w:tcPr>
            <w:tcW w:type="dxa" w:w="7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20+ clientes ativos. MRR entre R$ 60–80k. Primeiro contratado de suporte operacional. Presença orgânica no LinkedIn como referência em compliance para OSCs.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2028
Escala</w:t>
            </w:r>
          </w:p>
        </w:tc>
        <w:tc>
          <w:tcPr>
            <w:tcW w:type="dxa" w:w="7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30+ clientes. MRR acima de R$ 100k. Equipe formada. Expansão para outros setores do Terceiro Setor. Produto digital como receita adicional.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7.2 O que Precisa ser Construído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Sistema de onboarding padronizado para novos clientes (checklist, welcome kit, acesso a sistemas)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Biblioteca de modelos: justificativas padrão, templates de plano de trabalho por setor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Processo de entrega documentado para contratar o primeiro apoio operacional sem perda de qualidade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Presença digital consistente: LinkedIn + conteúdo técnico para construir autoridade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Programa de indicações formal com benefício claro para clientes que indicam</w:t>
      </w:r>
    </w:p>
    <w:p>
      <w:r>
        <w:br w:type="page"/>
      </w:r>
    </w:p>
    <w:p>
      <w:pPr>
        <w:shd w:fill="0F5132" w:val="clear"/>
        <w:spacing w:after="80" w:before="280"/>
        <w:ind w:left="240" w:right="240"/>
      </w:pPr>
      <w:r>
        <w:rPr>
          <w:rFonts w:ascii="Calibri" w:cs="Calibri" w:eastAsia="Calibri" w:hAnsi="Calibri"/>
          <w:b/>
          <w:bCs/>
          <w:color w:val="D1FAE5"/>
          <w:sz w:val="28"/>
          <w:szCs w:val="28"/>
        </w:rPr>
        <w:t xml:space="preserve">8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Próximos 90 Dias — Ações Prioritárias</w:t>
      </w:r>
    </w:p>
    <w:p>
      <w:pPr>
        <w:spacing w:after="0" w:before="60"/>
      </w:pPr>
      <w:r>
        <w:t xml:space="preserve"/>
      </w:r>
    </w:p>
    <w:p>
      <w:pPr>
        <w:spacing w:after="60" w:before="40"/>
        <w:ind w:left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Foco absoluto: captar os primeiros clientes recorrentes e ativar os canais com menor fricção. Sem dispersão.</w:t>
      </w:r>
    </w:p>
    <w:p>
      <w:pPr>
        <w:spacing w:after="0" w:before="6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Mês 1 — Fundação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1600"/>
        <w:gridCol w:w="8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Listar todos os contatos que conhecem OSCs e enviar mensagem personalizada de apresentação da RT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Sócios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Sem. 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Ativar canal LinkedIn: perfil atualizado + 1ª postagem técnica sobre compliance de OSCs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Sócios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Sem. 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Entrar em contato com 3 escritórios de advocacia/contabilidade para proposta de parceria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Sócios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Sem. 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Definir script de indicação para clientes atuais e aplicar com todos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Sócios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Sem. 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Criar proposta comercial padrão para o Diagnóstico de Conformidade (PDF ou página simples)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Sócios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Sem. 3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Mapear 10 OSCs de saúde e 10 de educação na região — pesquisar contatos e situação de contratos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Sócios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Sem. 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Mês 2 — Ativação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1600"/>
        <w:gridCol w:w="8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Realizar o 1º Diagnóstico de Conformidade com OSC prospectada — entregar em 7 dias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Sócios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Sem. 1–2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Apresentar proposta de plano recorrente ao término de cada diagnóstico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Sócios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Após diag.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Publicar no LinkedIn: 2x por semana (intercalar conteúdo educativo + bastidores da RT)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Sócios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Contínuo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Formalizar 1 parceria com escritório externo (contrato de indicação mútua)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Sócios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Sem. 3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11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Criar planilha de acompanhamento: pipeline, propostas abertas, MRR atual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Sócios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Sem. 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Mês 3 — Consolidação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1600"/>
        <w:gridCol w:w="8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12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Revisar métricas: MRR, pipeline, churn, diagnósticos convertidos. Ajustar canal prioritário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Sócios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Sem. 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13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Participar de 1 evento ou encontro de gestores de OSC (presencial ou online)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Sócios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Sem. 2–3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14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Documentar o processo de entrega do Plano Gestão: passo a passo replicável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Sócios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Sem. 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15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Revisar e atualizar este plano com aprendizados dos primeiros 90 dias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Sócios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Sem. 4</w:t>
            </w:r>
          </w:p>
        </w:tc>
      </w:tr>
    </w:tbl>
    <w:p>
      <w:r>
        <w:br w:type="page"/>
      </w:r>
    </w:p>
    <w:p>
      <w:pPr>
        <w:shd w:fill="0F5132" w:val="clear"/>
        <w:spacing w:after="80" w:before="280"/>
        <w:ind w:left="240" w:right="240"/>
      </w:pPr>
      <w:r>
        <w:rPr>
          <w:rFonts w:ascii="Calibri" w:cs="Calibri" w:eastAsia="Calibri" w:hAnsi="Calibri"/>
          <w:b/>
          <w:bCs/>
          <w:color w:val="D1FAE5"/>
          <w:sz w:val="28"/>
          <w:szCs w:val="28"/>
        </w:rPr>
        <w:t xml:space="preserve">9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Prospecção Ativa — LinkedIn + Telefone</w:t>
      </w:r>
    </w:p>
    <w:p>
      <w:pPr>
        <w:spacing w:after="0" w:before="60"/>
      </w:pPr>
      <w:r>
        <w:t xml:space="preserve"/>
      </w:r>
    </w:p>
    <w:p>
      <w:pPr>
        <w:spacing w:after="60" w:before="40"/>
        <w:ind w:left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prospecção ativa é o canal de captação com retorno mais rápido na fase de início. A estratégia combina LinkedIn (autoridade + abordagem aquecida) e telefone via SDR terceirizado (volume + velocidade). A lista de prospects é de responsabilidade da RT — não do SDR.</w:t>
      </w:r>
    </w:p>
    <w:p>
      <w:pPr>
        <w:spacing w:after="0" w:before="6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9.1 Fontes para Montar a Lista de OSCs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14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Como Usar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Portal da Transparência Federal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Filtrar: UF=SP, Instrumento=Convênio/Termo de Parceria, Concedente=Min. Saúde ou Educação. Exportar CSV. Filtrar favorecidos com 'Associação', 'Instituto', 'Fundação' no nome.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Saúde e Educação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🔴 Alta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Transferegov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Baixar CSV de Convênios. Filtrar: UF_PROPONENTE=SP, VALOR_GLOBAL &gt; 100k, instrumento = Convênio ou Termo de Parceria.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Saúde e Educação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🔴 Alta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Portal Transparência SP (Estado)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Convênios e Parcerias &gt; Termos de Fomento/Colaboração &gt; Secretaria Saúde ou Educação. Exportar.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Saúde e Educação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🔴 Alta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CNES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Natureza: Filantrópica/Beneficente. UF=SP. Extrair CNPJ e cruzar com Portal da Transparência.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Saúde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🟡 Média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INEP Microdados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Censo Escolar. Filtrar: TP_DEPENDENCIA=4, CO_UF=35, IN_CONVENIADA_PP=1. Usar CNPJ da mantenedora.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Educação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🟡 Média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Receita Federal / cnpj.info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Enriquecimento: telefone, e-mail, situação cadastral. Usar após montar a lista.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Todos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🟢 Suporte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9.2 Critérios de Qualificação do Lead (para o SDR)</w:t>
      </w:r>
    </w:p>
    <w:p>
      <w:pPr>
        <w:spacing w:after="60" w:before="40"/>
        <w:ind w:left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SDR não fecha — ele qualifica e agenda. Antes de agendar a reunião com os sócios da RT, precisa confirmar os 4 critérios abaixo.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3880"/>
        <w:gridCol w:w="3000"/>
      </w:tblGrid>
      <w:tr>
        <w:trPr>
          <w:tblHeader/>
        </w:trP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Pergunta do SDR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Resposta mínima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Contrato público ativo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20"/>
                <w:szCs w:val="20"/>
              </w:rPr>
              <w:t xml:space="preserve">"A organização tem algum convênio ou parceria com prefeitura, estado ou governo federal?"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Sim, pelo menos 1 contrato ativo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Responsável acessível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20"/>
                <w:szCs w:val="20"/>
              </w:rPr>
              <w:t xml:space="preserve">"Você é o responsável pela gestão financeira? Ou tem alguém que eu deveria falar?"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Chegar ao diretor ou coord. financeiro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Dor ou risco percebido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20"/>
                <w:szCs w:val="20"/>
              </w:rPr>
              <w:t xml:space="preserve">"Já tiveram algum problema com prestação de contas — notificação, rubrica errada, prazo apertado?"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Qualquer sinal de problema ou medo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Abertura para reunião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20"/>
                <w:szCs w:val="20"/>
              </w:rPr>
              <w:t xml:space="preserve">"Faz sentido marcar 20 minutos com os especialistas da RT — conversa gratuita?"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Aceitar data e horário confirmados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9.3 Script de Abordagem Telefônica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66534" w:val="clear"/>
              <w:spacing w:after="80" w:before="80"/>
              <w:ind w:left="180" w:right="1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Etapa 1 — Abertura (15 segundos)</w:t>
            </w:r>
          </w:p>
          <w:p>
            <w:pPr>
              <w:shd w:fill="ECFDF5" w:val="clear"/>
              <w:spacing w:after="60" w:before="100"/>
              <w:ind w:left="180" w:right="180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"Oi, tudo bem? Meu nome é [NOME], estou ligando em nome da RT Consultoria — somos especializados em gestão financeira e compliance para OSCs que recebem recursos públicos. Estou falando com [NOME DO CONTATO]?"</w:t>
            </w:r>
          </w:p>
          <w:p>
            <w:pPr>
              <w:spacing w:after="100" w:before="40"/>
              <w:ind w:left="180" w:right="180"/>
            </w:pPr>
            <w:r>
              <w:rPr>
                <w:rFonts w:ascii="Calibri" w:cs="Calibri" w:eastAsia="Calibri" w:hAnsi="Calibri"/>
                <w:i/>
                <w:iCs/>
                <w:color w:val="166534"/>
                <w:sz w:val="18"/>
                <w:szCs w:val="18"/>
              </w:rPr>
              <w:t xml:space="preserve">💡 Falar devagar. Não perguntar 'posso falar 2 minutinhos?' — isso sinaliza pedido, não oferta.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E3A5F" w:val="clear"/>
              <w:spacing w:after="80" w:before="80"/>
              <w:ind w:left="180" w:right="1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Etapa 2 — Gancho (dor)</w:t>
            </w:r>
          </w:p>
          <w:p>
            <w:pPr>
              <w:shd w:fill="DBEAFE" w:val="clear"/>
              <w:spacing w:after="60" w:before="100"/>
              <w:ind w:left="180" w:right="180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"A [NOME DA OSC] tem convênio com [ÓRGÃO FINANCIADOR], certo? A principal causa de problema com repasse não é falta de execução — é falha na prestação de contas: classificação errada, rubrica estourada, prazo do TCE perdido. Isso pode gerar desde glosa até perda total do contrato."</w:t>
            </w:r>
          </w:p>
          <w:p>
            <w:pPr>
              <w:spacing w:after="100" w:before="40"/>
              <w:ind w:left="180" w:right="1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18"/>
                <w:szCs w:val="18"/>
              </w:rPr>
              <w:t xml:space="preserve">💡 Personalizar com o nome da OSC e o órgão financiador — aumenta muito a taxa de engajamento.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6"/>
              <w:left w:val="single" w:color="92400E" w:sz="6"/>
              <w:bottom w:val="single" w:color="92400E" w:sz="6"/>
              <w:right w:val="single" w:color="92400E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92400E" w:val="clear"/>
              <w:spacing w:after="80" w:before="80"/>
              <w:ind w:left="180" w:right="1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Etapa 3 — Qualificação (30 segundos)</w:t>
            </w:r>
          </w:p>
          <w:p>
            <w:pPr>
              <w:shd w:fill="FEF3C7" w:val="clear"/>
              <w:spacing w:after="60" w:before="100"/>
              <w:ind w:left="180" w:right="180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"Me conta rapidinho: vocês têm alguém interno que cuida da prestação de contas, ou terceirizam? E já tiveram algum problema — notificação, rubrica que não bateu, prazo apertado com o TCE?"</w:t>
            </w:r>
          </w:p>
          <w:p>
            <w:pPr>
              <w:spacing w:after="100" w:before="40"/>
              <w:ind w:left="180" w:right="180"/>
            </w:pPr>
            <w:r>
              <w:rPr>
                <w:rFonts w:ascii="Calibri" w:cs="Calibri" w:eastAsia="Calibri" w:hAnsi="Calibri"/>
                <w:i/>
                <w:iCs/>
                <w:color w:val="92400E"/>
                <w:sz w:val="18"/>
                <w:szCs w:val="18"/>
              </w:rPr>
              <w:t xml:space="preserve">💡 Ouvir ativamente. Não interromper. As respostas informam o argumento da reunião.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5132" w:sz="6"/>
              <w:left w:val="single" w:color="0F5132" w:sz="6"/>
              <w:bottom w:val="single" w:color="0F5132" w:sz="6"/>
              <w:right w:val="single" w:color="0F5132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0F5132" w:val="clear"/>
              <w:spacing w:after="80" w:before="80"/>
              <w:ind w:left="180" w:right="1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Etapa 4 — Fechamento da Reunião</w:t>
            </w:r>
          </w:p>
          <w:p>
            <w:pPr>
              <w:shd w:fill="ECFDF5" w:val="clear"/>
              <w:spacing w:after="60" w:before="100"/>
              <w:ind w:left="180" w:right="180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"Faz sentido marcar 20 minutos com os especialistas da RT? Conversa gratuita — eles mostram os principais riscos da organização de vocês. Você prefere [DIA/HORA A] ou [DIA/HORA B]?"</w:t>
            </w:r>
          </w:p>
          <w:p>
            <w:pPr>
              <w:spacing w:after="100" w:before="40"/>
              <w:ind w:left="180" w:right="180"/>
            </w:pPr>
            <w:r>
              <w:rPr>
                <w:rFonts w:ascii="Calibri" w:cs="Calibri" w:eastAsia="Calibri" w:hAnsi="Calibri"/>
                <w:i/>
                <w:iCs/>
                <w:color w:val="0F5132"/>
                <w:sz w:val="18"/>
                <w:szCs w:val="18"/>
              </w:rPr>
              <w:t xml:space="preserve">💡 Sempre duas opções de horário. Nunca 'quando você pode?'. Após confirmar: enviar convite imediatamente.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left w:val="single" w:color="0F5132" w:sz="16" w:space="8"/>
        </w:pBdr>
        <w:spacing w:after="60" w:before="200"/>
        <w:ind w:left="160"/>
      </w:pPr>
      <w:r>
        <w:rPr>
          <w:rFonts w:ascii="Calibri" w:cs="Calibri" w:eastAsia="Calibri" w:hAnsi="Calibri"/>
          <w:b/>
          <w:bCs/>
          <w:color w:val="0F5132"/>
          <w:sz w:val="24"/>
          <w:szCs w:val="24"/>
        </w:rPr>
        <w:t xml:space="preserve">9.4 Gestão do SDR Terceirizado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 Mensal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51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Como Acompanhar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Ligações realizadas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80–120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Relatório semanal do SDR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Contatos qualificados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15–25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Planilha compartilhada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Reuniões agendadas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6–10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Confirmação no calendário 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Taxa agendamento / ligação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&gt; 6%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Calculado pelo relatório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Reuniões realizadas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&gt; 80% das agendadas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Controle interno 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F5132" w:sz="6" w:space="1"/>
        </w:pBdr>
        <w:spacing w:after="80" w:before="0"/>
      </w:pPr>
    </w:p>
    <w:p>
      <w:pPr>
        <w:spacing w:after="0" w:before="100"/>
        <w:jc w:val="center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RT Consultoria  |  Gestão financeira e compliance para OSCs  |  Documento interno — Maio/2026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8640"/>
      </w:tabs>
      <w:spacing w:after="0" w:before="80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Documento interno — uso restrito aos sócios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4748B"/>
        <w:sz w:val="16"/>
        <w:szCs w:val="16"/>
      </w:rPr>
      <w:t xml:space="preserve">Página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spacing w:after="80" w:before="0"/>
    </w:pPr>
    <w:r>
      <w:rPr>
        <w:rFonts w:ascii="Calibri" w:cs="Calibri" w:eastAsia="Calibri" w:hAnsi="Calibri"/>
        <w:b/>
        <w:bCs/>
        <w:color w:val="0F5132"/>
        <w:sz w:val="18"/>
        <w:szCs w:val="18"/>
      </w:rPr>
      <w:t xml:space="preserve">RT Consultoria</w:t>
    </w:r>
    <w:r>
      <w:rPr>
        <w:rFonts w:ascii="Calibri" w:cs="Calibri" w:eastAsia="Calibri" w:hAnsi="Calibri"/>
        <w:color w:val="64748B"/>
        <w:sz w:val="18"/>
        <w:szCs w:val="18"/>
      </w:rPr>
      <w:t xml:space="preserve">  |  Plano Estratégico de Negócio 2026–2028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80" w:hanging="240"/>
      </w:pPr>
      <w:rPr>
        <w:rFonts w:ascii="Calibri" w:cs="Calibri" w:eastAsia="Calibri" w:hAnsi="Calibri"/>
        <w:b/>
        <w:bCs/>
        <w:color w:val="166534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Calibri" w:cs="Calibri" w:eastAsia="Calibri" w:hAnsi="Calibri"/>
      <w:b/>
      <w:bCs/>
      <w:color w:val="0F513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Calibri" w:cs="Calibri" w:eastAsia="Calibri" w:hAnsi="Calibri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2026-05-24T21:09:48.742Z</dcterms:created>
  <dcterms:modified xsi:type="dcterms:W3CDTF">2026-05-24T21:09:48.754Z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