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F8769" w14:textId="363CD56C" w:rsidR="00916025" w:rsidRDefault="00603C9C" w:rsidP="00916025">
      <w:pPr>
        <w:pStyle w:val="Heading1"/>
        <w:jc w:val="center"/>
      </w:pPr>
      <w:r>
        <w:t xml:space="preserve">Stock </w:t>
      </w:r>
      <w:r w:rsidR="00A35FC2">
        <w:t>Investing Definitions</w:t>
      </w:r>
    </w:p>
    <w:p w14:paraId="68DF42B3" w14:textId="799C9ED8" w:rsidR="00EC1CA7" w:rsidRPr="00EC1CA7" w:rsidRDefault="00EC1CA7" w:rsidP="00EC1CA7">
      <w:pPr>
        <w:pStyle w:val="Heading2"/>
        <w:shd w:val="clear" w:color="auto" w:fill="FFFFFF"/>
        <w:rPr>
          <w:rFonts w:ascii="Arial" w:hAnsi="Arial" w:cs="Arial"/>
          <w:b/>
          <w:bCs/>
          <w:color w:val="111111"/>
          <w:spacing w:val="1"/>
        </w:rPr>
      </w:pPr>
      <w:r w:rsidRPr="00EC1CA7">
        <w:rPr>
          <w:rStyle w:val="mntl-sc-block-headingtext"/>
          <w:rFonts w:ascii="Arial" w:hAnsi="Arial" w:cs="Arial"/>
          <w:b/>
          <w:bCs/>
          <w:color w:val="111111"/>
          <w:spacing w:val="1"/>
          <w:u w:val="single"/>
        </w:rPr>
        <w:t>Long Position</w:t>
      </w:r>
      <w:r>
        <w:rPr>
          <w:rStyle w:val="mntl-sc-block-headingtext"/>
          <w:rFonts w:ascii="Arial" w:hAnsi="Arial" w:cs="Arial"/>
          <w:b/>
          <w:bCs/>
          <w:color w:val="111111"/>
          <w:spacing w:val="1"/>
        </w:rPr>
        <w:t>:</w:t>
      </w:r>
    </w:p>
    <w:p w14:paraId="580EB33A" w14:textId="5404972D" w:rsidR="00EC1CA7" w:rsidRPr="00EC1CA7" w:rsidRDefault="00EC1CA7" w:rsidP="00EC1CA7">
      <w:pPr>
        <w:pStyle w:val="comp"/>
        <w:shd w:val="clear" w:color="auto" w:fill="FFFFFF"/>
        <w:spacing w:before="0" w:beforeAutospacing="0" w:after="240" w:afterAutospacing="0"/>
        <w:ind w:firstLine="720"/>
        <w:rPr>
          <w:rFonts w:ascii="Arial" w:hAnsi="Arial" w:cs="Arial"/>
          <w:color w:val="111111"/>
          <w:spacing w:val="1"/>
        </w:rPr>
      </w:pPr>
      <w:r w:rsidRPr="00EC1CA7">
        <w:rPr>
          <w:rFonts w:ascii="Arial" w:hAnsi="Arial" w:cs="Arial"/>
          <w:color w:val="111111"/>
          <w:spacing w:val="1"/>
        </w:rPr>
        <w:t>If an investor has a </w:t>
      </w:r>
      <w:hyperlink r:id="rId5" w:history="1">
        <w:r w:rsidRPr="00EC1CA7">
          <w:rPr>
            <w:rStyle w:val="Hyperlink"/>
            <w:rFonts w:ascii="Arial" w:eastAsiaTheme="majorEastAsia" w:hAnsi="Arial" w:cs="Arial"/>
            <w:color w:val="2C40D0"/>
            <w:spacing w:val="1"/>
          </w:rPr>
          <w:t>long</w:t>
        </w:r>
      </w:hyperlink>
      <w:r w:rsidRPr="00EC1CA7">
        <w:rPr>
          <w:rFonts w:ascii="Arial" w:hAnsi="Arial" w:cs="Arial"/>
          <w:color w:val="111111"/>
          <w:spacing w:val="1"/>
        </w:rPr>
        <w:t> position, it means that the investor has bought and owns securities, such as shares of stocks. For instance, an investor who owns 100 shares of Te</w:t>
      </w:r>
      <w:r w:rsidRPr="00EC1CA7">
        <w:rPr>
          <w:rFonts w:ascii="Arial" w:hAnsi="Arial" w:cs="Arial"/>
          <w:color w:val="111111"/>
          <w:spacing w:val="1"/>
        </w:rPr>
        <w:t>s</w:t>
      </w:r>
      <w:r w:rsidRPr="00EC1CA7">
        <w:rPr>
          <w:rFonts w:ascii="Arial" w:hAnsi="Arial" w:cs="Arial"/>
          <w:color w:val="111111"/>
          <w:spacing w:val="1"/>
        </w:rPr>
        <w:t>la stock in their portfolio is said to be long 100 shares.</w:t>
      </w:r>
    </w:p>
    <w:p w14:paraId="46FEAEFB" w14:textId="15D4BFC6" w:rsidR="00EC1CA7" w:rsidRDefault="00EC1CA7" w:rsidP="00EC1CA7">
      <w:pPr>
        <w:pStyle w:val="comp"/>
        <w:shd w:val="clear" w:color="auto" w:fill="FFFFFF"/>
        <w:spacing w:before="0" w:beforeAutospacing="0" w:after="0" w:afterAutospacing="0"/>
        <w:ind w:firstLine="720"/>
        <w:rPr>
          <w:rStyle w:val="mntl-inline-citation"/>
          <w:rFonts w:ascii="Arial" w:eastAsiaTheme="majorEastAsia" w:hAnsi="Arial" w:cs="Arial"/>
          <w:color w:val="0000EE"/>
          <w:spacing w:val="17"/>
          <w:sz w:val="27"/>
          <w:szCs w:val="27"/>
        </w:rPr>
      </w:pPr>
      <w:r w:rsidRPr="00EC1CA7">
        <w:rPr>
          <w:rFonts w:ascii="Arial" w:hAnsi="Arial" w:cs="Arial"/>
          <w:color w:val="111111"/>
          <w:spacing w:val="1"/>
        </w:rPr>
        <w:t xml:space="preserve">This investor has paid for the shares in full. They will make money if the shares rise in </w:t>
      </w:r>
      <w:proofErr w:type="gramStart"/>
      <w:r w:rsidRPr="00EC1CA7">
        <w:rPr>
          <w:rFonts w:ascii="Arial" w:hAnsi="Arial" w:cs="Arial"/>
          <w:color w:val="111111"/>
          <w:spacing w:val="1"/>
        </w:rPr>
        <w:t>value</w:t>
      </w:r>
      <w:proofErr w:type="gramEnd"/>
      <w:r w:rsidRPr="00EC1CA7">
        <w:rPr>
          <w:rFonts w:ascii="Arial" w:hAnsi="Arial" w:cs="Arial"/>
          <w:color w:val="111111"/>
          <w:spacing w:val="1"/>
        </w:rPr>
        <w:t xml:space="preserve"> and they sell them for more than they paid.</w:t>
      </w:r>
    </w:p>
    <w:p w14:paraId="7C76811E" w14:textId="77777777" w:rsidR="00EC1CA7" w:rsidRDefault="00EC1CA7" w:rsidP="00EC1CA7">
      <w:pPr>
        <w:pStyle w:val="comp"/>
        <w:shd w:val="clear" w:color="auto" w:fill="FFFFFF"/>
        <w:spacing w:before="0" w:beforeAutospacing="0" w:after="0" w:afterAutospacing="0"/>
        <w:ind w:firstLine="720"/>
        <w:rPr>
          <w:rStyle w:val="mntl-inline-citation"/>
          <w:rFonts w:ascii="Arial" w:eastAsiaTheme="majorEastAsia" w:hAnsi="Arial" w:cs="Arial"/>
          <w:color w:val="0000EE"/>
          <w:spacing w:val="17"/>
          <w:sz w:val="27"/>
          <w:szCs w:val="27"/>
        </w:rPr>
      </w:pPr>
    </w:p>
    <w:p w14:paraId="54EEC0DE" w14:textId="24D164CF" w:rsidR="00EC1CA7" w:rsidRPr="00EC1CA7" w:rsidRDefault="00EC1CA7" w:rsidP="00EC1CA7">
      <w:pPr>
        <w:pStyle w:val="Heading2"/>
        <w:shd w:val="clear" w:color="auto" w:fill="FFFFFF"/>
        <w:rPr>
          <w:rFonts w:ascii="Arial" w:hAnsi="Arial" w:cs="Arial"/>
          <w:b/>
          <w:bCs/>
          <w:color w:val="111111"/>
          <w:spacing w:val="1"/>
        </w:rPr>
      </w:pPr>
      <w:r w:rsidRPr="00EC1CA7">
        <w:rPr>
          <w:rStyle w:val="mntl-sc-block-headingtext"/>
          <w:rFonts w:ascii="Arial" w:hAnsi="Arial" w:cs="Arial"/>
          <w:b/>
          <w:bCs/>
          <w:color w:val="111111"/>
          <w:spacing w:val="1"/>
          <w:u w:val="single"/>
        </w:rPr>
        <w:t>S</w:t>
      </w:r>
      <w:r w:rsidRPr="00EC1CA7">
        <w:rPr>
          <w:rStyle w:val="mntl-sc-block-headingtext"/>
          <w:rFonts w:ascii="Arial" w:hAnsi="Arial" w:cs="Arial"/>
          <w:b/>
          <w:bCs/>
          <w:color w:val="111111"/>
          <w:spacing w:val="1"/>
          <w:u w:val="single"/>
        </w:rPr>
        <w:t>hort Position</w:t>
      </w:r>
      <w:r>
        <w:rPr>
          <w:rStyle w:val="mntl-sc-block-headingtext"/>
          <w:rFonts w:ascii="Arial" w:hAnsi="Arial" w:cs="Arial"/>
          <w:b/>
          <w:bCs/>
          <w:color w:val="111111"/>
          <w:spacing w:val="1"/>
        </w:rPr>
        <w:t>:</w:t>
      </w:r>
    </w:p>
    <w:p w14:paraId="6669F437" w14:textId="77777777" w:rsidR="00EC1CA7" w:rsidRPr="00EC1CA7" w:rsidRDefault="00EC1CA7" w:rsidP="00EC1CA7">
      <w:pPr>
        <w:pStyle w:val="comp"/>
        <w:shd w:val="clear" w:color="auto" w:fill="FFFFFF"/>
        <w:spacing w:before="0" w:beforeAutospacing="0"/>
        <w:ind w:firstLine="720"/>
        <w:rPr>
          <w:rFonts w:ascii="Arial" w:hAnsi="Arial" w:cs="Arial"/>
          <w:color w:val="111111"/>
          <w:spacing w:val="1"/>
          <w:sz w:val="27"/>
          <w:szCs w:val="27"/>
        </w:rPr>
      </w:pPr>
      <w:r w:rsidRPr="00EC1CA7">
        <w:rPr>
          <w:rFonts w:ascii="Arial" w:hAnsi="Arial" w:cs="Arial"/>
          <w:color w:val="111111"/>
          <w:spacing w:val="1"/>
          <w:sz w:val="27"/>
          <w:szCs w:val="27"/>
        </w:rPr>
        <w:t>If the investor has a </w:t>
      </w:r>
      <w:hyperlink r:id="rId6" w:history="1">
        <w:r w:rsidRPr="00EC1CA7">
          <w:rPr>
            <w:rStyle w:val="Hyperlink"/>
            <w:rFonts w:ascii="Arial" w:eastAsiaTheme="majorEastAsia" w:hAnsi="Arial" w:cs="Arial"/>
            <w:color w:val="2C40D0"/>
            <w:spacing w:val="1"/>
            <w:sz w:val="27"/>
            <w:szCs w:val="27"/>
          </w:rPr>
          <w:t>short</w:t>
        </w:r>
      </w:hyperlink>
      <w:r w:rsidRPr="00EC1CA7">
        <w:rPr>
          <w:rFonts w:ascii="Arial" w:hAnsi="Arial" w:cs="Arial"/>
          <w:color w:val="111111"/>
          <w:spacing w:val="1"/>
          <w:sz w:val="27"/>
          <w:szCs w:val="27"/>
        </w:rPr>
        <w:t> position, it means that the investor sold shares of a stock (and thus, owes them to some other investor who buys them), but does not actually own them yet. For instance, an investor who has sold 100 shares of Tesla without owning them is said to be short 100 shares.</w:t>
      </w:r>
    </w:p>
    <w:p w14:paraId="09CACD95" w14:textId="77777777" w:rsidR="00EC1CA7" w:rsidRPr="00EC1CA7" w:rsidRDefault="00EC1CA7" w:rsidP="00EC1CA7">
      <w:pPr>
        <w:pStyle w:val="comp"/>
        <w:shd w:val="clear" w:color="auto" w:fill="FFFFFF"/>
        <w:spacing w:before="0" w:beforeAutospacing="0"/>
        <w:ind w:firstLine="720"/>
        <w:rPr>
          <w:rFonts w:ascii="Arial" w:hAnsi="Arial" w:cs="Arial"/>
          <w:color w:val="111111"/>
          <w:spacing w:val="1"/>
          <w:sz w:val="27"/>
          <w:szCs w:val="27"/>
        </w:rPr>
      </w:pPr>
      <w:r w:rsidRPr="00EC1CA7">
        <w:rPr>
          <w:rFonts w:ascii="Arial" w:hAnsi="Arial" w:cs="Arial"/>
          <w:color w:val="111111"/>
          <w:spacing w:val="1"/>
          <w:sz w:val="27"/>
          <w:szCs w:val="27"/>
        </w:rPr>
        <w:t>When the trade settles, the investor with the short position must fulfill their transaction obligation by purchasing the shares in the market so that they may deliver them.</w:t>
      </w:r>
    </w:p>
    <w:p w14:paraId="443D7A50" w14:textId="77777777" w:rsidR="00EC1CA7" w:rsidRPr="00EC1CA7" w:rsidRDefault="00EC1CA7" w:rsidP="00EC1CA7">
      <w:pPr>
        <w:pStyle w:val="comp"/>
        <w:shd w:val="clear" w:color="auto" w:fill="FFFFFF"/>
        <w:spacing w:before="0" w:beforeAutospacing="0"/>
        <w:ind w:left="30" w:firstLine="690"/>
        <w:rPr>
          <w:rStyle w:val="mntl-inline-citation"/>
          <w:rFonts w:ascii="Arial" w:eastAsiaTheme="majorEastAsia" w:hAnsi="Arial" w:cs="Arial"/>
          <w:color w:val="0000EE"/>
          <w:spacing w:val="17"/>
        </w:rPr>
      </w:pPr>
      <w:r w:rsidRPr="00EC1CA7">
        <w:rPr>
          <w:rFonts w:ascii="Arial" w:hAnsi="Arial" w:cs="Arial"/>
          <w:color w:val="111111"/>
          <w:spacing w:val="1"/>
          <w:sz w:val="27"/>
          <w:szCs w:val="27"/>
        </w:rPr>
        <w:t>Oftentimes, the short investor will borrow the shares from a brokerage firm through a </w:t>
      </w:r>
      <w:hyperlink r:id="rId7" w:history="1">
        <w:r w:rsidRPr="00EC1CA7">
          <w:rPr>
            <w:rStyle w:val="Hyperlink"/>
            <w:rFonts w:ascii="Arial" w:eastAsiaTheme="majorEastAsia" w:hAnsi="Arial" w:cs="Arial"/>
            <w:color w:val="2C40D0"/>
            <w:spacing w:val="1"/>
            <w:sz w:val="27"/>
            <w:szCs w:val="27"/>
          </w:rPr>
          <w:t>margin account</w:t>
        </w:r>
      </w:hyperlink>
      <w:r w:rsidRPr="00EC1CA7">
        <w:rPr>
          <w:rFonts w:ascii="Arial" w:hAnsi="Arial" w:cs="Arial"/>
          <w:color w:val="111111"/>
          <w:spacing w:val="1"/>
          <w:sz w:val="27"/>
          <w:szCs w:val="27"/>
        </w:rPr>
        <w:t> to make the delivery. The goal is for the stock price to fall. Then, the investor will buy the shares at a lower price than they sold at, to pay back the dealer who loaned them.</w:t>
      </w:r>
      <w:r w:rsidRPr="00EC1CA7">
        <w:rPr>
          <w:rStyle w:val="mntl-inline-citation"/>
          <w:rFonts w:ascii="Arial" w:eastAsiaTheme="majorEastAsia" w:hAnsi="Arial" w:cs="Arial"/>
          <w:color w:val="0000EE"/>
          <w:spacing w:val="17"/>
          <w:sz w:val="27"/>
          <w:szCs w:val="27"/>
        </w:rPr>
        <w:t>2</w:t>
      </w:r>
    </w:p>
    <w:p w14:paraId="058A16D9" w14:textId="77777777" w:rsidR="00EC1CA7" w:rsidRPr="00EC1CA7" w:rsidRDefault="00EC1CA7" w:rsidP="00EC1CA7">
      <w:pPr>
        <w:pStyle w:val="NormalWeb"/>
        <w:shd w:val="clear" w:color="auto" w:fill="FFFFFF"/>
        <w:spacing w:before="0" w:beforeAutospacing="0" w:after="0" w:afterAutospacing="0"/>
        <w:ind w:left="30" w:firstLine="690"/>
        <w:rPr>
          <w:rFonts w:ascii="Arial" w:eastAsiaTheme="majorEastAsia" w:hAnsi="Arial" w:cs="Arial"/>
          <w:spacing w:val="5"/>
        </w:rPr>
      </w:pPr>
      <w:r w:rsidRPr="00EC1CA7">
        <w:rPr>
          <w:rFonts w:ascii="Arial" w:hAnsi="Arial" w:cs="Arial"/>
          <w:color w:val="0000EE"/>
          <w:spacing w:val="5"/>
        </w:rPr>
        <w:t>U.S. Securities and Exchange Commission. "</w:t>
      </w:r>
      <w:hyperlink r:id="rId8" w:tgtFrame="_blank" w:history="1">
        <w:r w:rsidRPr="00EC1CA7">
          <w:rPr>
            <w:rStyle w:val="Hyperlink"/>
            <w:rFonts w:ascii="Arial" w:eastAsiaTheme="majorEastAsia" w:hAnsi="Arial" w:cs="Arial"/>
            <w:color w:val="2C40D0"/>
            <w:spacing w:val="5"/>
          </w:rPr>
          <w:t>Investor Bulletin: An Introduction to Short Sales</w:t>
        </w:r>
      </w:hyperlink>
      <w:r w:rsidRPr="00EC1CA7">
        <w:rPr>
          <w:rFonts w:ascii="Arial" w:hAnsi="Arial" w:cs="Arial"/>
          <w:color w:val="0000EE"/>
          <w:spacing w:val="5"/>
        </w:rPr>
        <w:t>."</w:t>
      </w:r>
    </w:p>
    <w:p w14:paraId="1D9B36C3" w14:textId="77777777" w:rsidR="00EC1CA7" w:rsidRPr="00EC1CA7" w:rsidRDefault="00EC1CA7" w:rsidP="00EC1CA7">
      <w:pPr>
        <w:pStyle w:val="comp"/>
        <w:shd w:val="clear" w:color="auto" w:fill="FFFFFF"/>
        <w:spacing w:before="0" w:beforeAutospacing="0"/>
        <w:rPr>
          <w:rFonts w:ascii="Arial" w:hAnsi="Arial" w:cs="Arial"/>
          <w:color w:val="111111"/>
          <w:spacing w:val="1"/>
          <w:sz w:val="27"/>
          <w:szCs w:val="27"/>
        </w:rPr>
      </w:pPr>
      <w:r w:rsidRPr="00EC1CA7">
        <w:rPr>
          <w:rFonts w:ascii="Arial" w:hAnsi="Arial" w:cs="Arial"/>
          <w:color w:val="111111"/>
          <w:spacing w:val="1"/>
          <w:sz w:val="27"/>
          <w:szCs w:val="27"/>
        </w:rPr>
        <w:t>If the price doesn't fall but instead keeps rising, the short seller may be subject to a </w:t>
      </w:r>
      <w:hyperlink r:id="rId9" w:history="1">
        <w:r w:rsidRPr="00EC1CA7">
          <w:rPr>
            <w:rStyle w:val="Hyperlink"/>
            <w:rFonts w:ascii="Arial" w:eastAsiaTheme="majorEastAsia" w:hAnsi="Arial" w:cs="Arial"/>
            <w:color w:val="2C40D0"/>
            <w:spacing w:val="1"/>
            <w:sz w:val="27"/>
            <w:szCs w:val="27"/>
          </w:rPr>
          <w:t>margin call</w:t>
        </w:r>
      </w:hyperlink>
      <w:r w:rsidRPr="00EC1CA7">
        <w:rPr>
          <w:rFonts w:ascii="Arial" w:hAnsi="Arial" w:cs="Arial"/>
          <w:color w:val="111111"/>
          <w:spacing w:val="1"/>
          <w:sz w:val="27"/>
          <w:szCs w:val="27"/>
        </w:rPr>
        <w:t> from their broker. A margin call occurs when the value of an account of an investor who borrows on margin falls below the broker's required minimum value. Once a call is issued, the investor must deposit additional money or securities so that the value of the margin account rises to or above the minimum </w:t>
      </w:r>
      <w:hyperlink r:id="rId10" w:history="1">
        <w:r w:rsidRPr="00EC1CA7">
          <w:rPr>
            <w:rStyle w:val="Hyperlink"/>
            <w:rFonts w:ascii="Arial" w:eastAsiaTheme="majorEastAsia" w:hAnsi="Arial" w:cs="Arial"/>
            <w:color w:val="2333A6"/>
            <w:spacing w:val="1"/>
            <w:sz w:val="27"/>
            <w:szCs w:val="27"/>
          </w:rPr>
          <w:t>maintenance margin</w:t>
        </w:r>
      </w:hyperlink>
      <w:r w:rsidRPr="00EC1CA7">
        <w:rPr>
          <w:rFonts w:ascii="Arial" w:hAnsi="Arial" w:cs="Arial"/>
          <w:color w:val="111111"/>
          <w:spacing w:val="1"/>
          <w:sz w:val="27"/>
          <w:szCs w:val="27"/>
        </w:rPr>
        <w:t> level.</w:t>
      </w:r>
    </w:p>
    <w:p w14:paraId="7F519A65" w14:textId="55F2B522" w:rsidR="00EC1CA7" w:rsidRDefault="00EC1CA7" w:rsidP="00EC1CA7">
      <w:pPr>
        <w:pStyle w:val="comp"/>
        <w:shd w:val="clear" w:color="auto" w:fill="FFFFFF"/>
        <w:spacing w:before="0" w:beforeAutospacing="0" w:after="0" w:afterAutospacing="0"/>
        <w:jc w:val="both"/>
        <w:rPr>
          <w:rFonts w:ascii="Arial" w:hAnsi="Arial" w:cs="Arial"/>
          <w:color w:val="111111"/>
          <w:spacing w:val="1"/>
          <w:sz w:val="27"/>
          <w:szCs w:val="27"/>
        </w:rPr>
      </w:pPr>
    </w:p>
    <w:p w14:paraId="146D04B8" w14:textId="3E8A2FC5" w:rsidR="00603C9C" w:rsidRPr="00C26ABF" w:rsidRDefault="00603C9C" w:rsidP="00EC1CA7">
      <w:pPr>
        <w:ind w:left="360"/>
        <w:rPr>
          <w:b/>
          <w:bCs/>
          <w:color w:val="000000" w:themeColor="text1"/>
          <w:sz w:val="32"/>
          <w:szCs w:val="32"/>
          <w:u w:val="single"/>
        </w:rPr>
      </w:pPr>
    </w:p>
    <w:sectPr w:rsidR="00603C9C" w:rsidRPr="00C26ABF" w:rsidSect="009160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60411"/>
    <w:multiLevelType w:val="hybridMultilevel"/>
    <w:tmpl w:val="0366C682"/>
    <w:lvl w:ilvl="0" w:tplc="0409000F">
      <w:start w:val="1"/>
      <w:numFmt w:val="decimal"/>
      <w:lvlText w:val="%1."/>
      <w:lvlJc w:val="left"/>
      <w:pPr>
        <w:ind w:left="5040" w:hanging="360"/>
      </w:pPr>
    </w:lvl>
    <w:lvl w:ilvl="1" w:tplc="2770590A">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F37AD"/>
    <w:multiLevelType w:val="hybridMultilevel"/>
    <w:tmpl w:val="56FC811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398D0CC3"/>
    <w:multiLevelType w:val="hybridMultilevel"/>
    <w:tmpl w:val="6EB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21107"/>
    <w:multiLevelType w:val="hybridMultilevel"/>
    <w:tmpl w:val="D9205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1A35C0"/>
    <w:multiLevelType w:val="hybridMultilevel"/>
    <w:tmpl w:val="64F21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290161">
    <w:abstractNumId w:val="2"/>
  </w:num>
  <w:num w:numId="2" w16cid:durableId="625744125">
    <w:abstractNumId w:val="4"/>
  </w:num>
  <w:num w:numId="3" w16cid:durableId="97606858">
    <w:abstractNumId w:val="0"/>
  </w:num>
  <w:num w:numId="4" w16cid:durableId="1022130212">
    <w:abstractNumId w:val="3"/>
  </w:num>
  <w:num w:numId="5" w16cid:durableId="8459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9C"/>
    <w:rsid w:val="00075799"/>
    <w:rsid w:val="00077A39"/>
    <w:rsid w:val="000A4AB2"/>
    <w:rsid w:val="000C040E"/>
    <w:rsid w:val="00222861"/>
    <w:rsid w:val="00262F22"/>
    <w:rsid w:val="00290D70"/>
    <w:rsid w:val="002B5140"/>
    <w:rsid w:val="00340A96"/>
    <w:rsid w:val="003878BE"/>
    <w:rsid w:val="00434780"/>
    <w:rsid w:val="004461D7"/>
    <w:rsid w:val="004D239B"/>
    <w:rsid w:val="00520DC0"/>
    <w:rsid w:val="0052309B"/>
    <w:rsid w:val="00537E00"/>
    <w:rsid w:val="00603C9C"/>
    <w:rsid w:val="00637E81"/>
    <w:rsid w:val="006827E0"/>
    <w:rsid w:val="00696B91"/>
    <w:rsid w:val="006B6CC2"/>
    <w:rsid w:val="006C5BD3"/>
    <w:rsid w:val="006E7D3B"/>
    <w:rsid w:val="007259F4"/>
    <w:rsid w:val="007411EA"/>
    <w:rsid w:val="00747D0C"/>
    <w:rsid w:val="00770286"/>
    <w:rsid w:val="00773591"/>
    <w:rsid w:val="007C6C91"/>
    <w:rsid w:val="00842BC2"/>
    <w:rsid w:val="00873E9B"/>
    <w:rsid w:val="008B2AD4"/>
    <w:rsid w:val="00916025"/>
    <w:rsid w:val="00957DD4"/>
    <w:rsid w:val="0097284A"/>
    <w:rsid w:val="009A5022"/>
    <w:rsid w:val="00A1767E"/>
    <w:rsid w:val="00A35FC2"/>
    <w:rsid w:val="00A5005F"/>
    <w:rsid w:val="00AB67D0"/>
    <w:rsid w:val="00B45EFF"/>
    <w:rsid w:val="00C26ABF"/>
    <w:rsid w:val="00C27E12"/>
    <w:rsid w:val="00EC1CA7"/>
    <w:rsid w:val="00F3003E"/>
    <w:rsid w:val="00F90F12"/>
    <w:rsid w:val="00FB0A1F"/>
    <w:rsid w:val="00FF6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21FF6"/>
  <w15:chartTrackingRefBased/>
  <w15:docId w15:val="{4CD0675E-31CD-45BC-9BAE-DFA44565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C9C"/>
    <w:rPr>
      <w:rFonts w:eastAsiaTheme="majorEastAsia" w:cstheme="majorBidi"/>
      <w:color w:val="272727" w:themeColor="text1" w:themeTint="D8"/>
    </w:rPr>
  </w:style>
  <w:style w:type="paragraph" w:styleId="Title">
    <w:name w:val="Title"/>
    <w:basedOn w:val="Normal"/>
    <w:next w:val="Normal"/>
    <w:link w:val="TitleChar"/>
    <w:uiPriority w:val="10"/>
    <w:qFormat/>
    <w:rsid w:val="00603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C9C"/>
    <w:pPr>
      <w:spacing w:before="160"/>
      <w:jc w:val="center"/>
    </w:pPr>
    <w:rPr>
      <w:i/>
      <w:iCs/>
      <w:color w:val="404040" w:themeColor="text1" w:themeTint="BF"/>
    </w:rPr>
  </w:style>
  <w:style w:type="character" w:customStyle="1" w:styleId="QuoteChar">
    <w:name w:val="Quote Char"/>
    <w:basedOn w:val="DefaultParagraphFont"/>
    <w:link w:val="Quote"/>
    <w:uiPriority w:val="29"/>
    <w:rsid w:val="00603C9C"/>
    <w:rPr>
      <w:i/>
      <w:iCs/>
      <w:color w:val="404040" w:themeColor="text1" w:themeTint="BF"/>
    </w:rPr>
  </w:style>
  <w:style w:type="paragraph" w:styleId="ListParagraph">
    <w:name w:val="List Paragraph"/>
    <w:basedOn w:val="Normal"/>
    <w:uiPriority w:val="34"/>
    <w:qFormat/>
    <w:rsid w:val="00603C9C"/>
    <w:pPr>
      <w:ind w:left="720"/>
      <w:contextualSpacing/>
    </w:pPr>
  </w:style>
  <w:style w:type="character" w:styleId="IntenseEmphasis">
    <w:name w:val="Intense Emphasis"/>
    <w:basedOn w:val="DefaultParagraphFont"/>
    <w:uiPriority w:val="21"/>
    <w:qFormat/>
    <w:rsid w:val="00603C9C"/>
    <w:rPr>
      <w:i/>
      <w:iCs/>
      <w:color w:val="0F4761" w:themeColor="accent1" w:themeShade="BF"/>
    </w:rPr>
  </w:style>
  <w:style w:type="paragraph" w:styleId="IntenseQuote">
    <w:name w:val="Intense Quote"/>
    <w:basedOn w:val="Normal"/>
    <w:next w:val="Normal"/>
    <w:link w:val="IntenseQuoteChar"/>
    <w:uiPriority w:val="30"/>
    <w:qFormat/>
    <w:rsid w:val="00603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C9C"/>
    <w:rPr>
      <w:i/>
      <w:iCs/>
      <w:color w:val="0F4761" w:themeColor="accent1" w:themeShade="BF"/>
    </w:rPr>
  </w:style>
  <w:style w:type="character" w:styleId="IntenseReference">
    <w:name w:val="Intense Reference"/>
    <w:basedOn w:val="DefaultParagraphFont"/>
    <w:uiPriority w:val="32"/>
    <w:qFormat/>
    <w:rsid w:val="00603C9C"/>
    <w:rPr>
      <w:b/>
      <w:bCs/>
      <w:smallCaps/>
      <w:color w:val="0F4761" w:themeColor="accent1" w:themeShade="BF"/>
      <w:spacing w:val="5"/>
    </w:rPr>
  </w:style>
  <w:style w:type="character" w:customStyle="1" w:styleId="mntl-sc-block-headingtext">
    <w:name w:val="mntl-sc-block-heading__text"/>
    <w:basedOn w:val="DefaultParagraphFont"/>
    <w:rsid w:val="00EC1CA7"/>
  </w:style>
  <w:style w:type="paragraph" w:customStyle="1" w:styleId="comp">
    <w:name w:val="comp"/>
    <w:basedOn w:val="Normal"/>
    <w:rsid w:val="00EC1CA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C1CA7"/>
    <w:rPr>
      <w:color w:val="0000FF"/>
      <w:u w:val="single"/>
    </w:rPr>
  </w:style>
  <w:style w:type="character" w:customStyle="1" w:styleId="mntl-inline-citation">
    <w:name w:val="mntl-inline-citation"/>
    <w:basedOn w:val="DefaultParagraphFont"/>
    <w:rsid w:val="00EC1CA7"/>
  </w:style>
  <w:style w:type="paragraph" w:styleId="NormalWeb">
    <w:name w:val="Normal (Web)"/>
    <w:basedOn w:val="Normal"/>
    <w:uiPriority w:val="99"/>
    <w:semiHidden/>
    <w:unhideWhenUsed/>
    <w:rsid w:val="00EC1CA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240830">
      <w:bodyDiv w:val="1"/>
      <w:marLeft w:val="0"/>
      <w:marRight w:val="0"/>
      <w:marTop w:val="0"/>
      <w:marBottom w:val="0"/>
      <w:divBdr>
        <w:top w:val="none" w:sz="0" w:space="0" w:color="auto"/>
        <w:left w:val="none" w:sz="0" w:space="0" w:color="auto"/>
        <w:bottom w:val="none" w:sz="0" w:space="0" w:color="auto"/>
        <w:right w:val="none" w:sz="0" w:space="0" w:color="auto"/>
      </w:divBdr>
    </w:div>
    <w:div w:id="1348606182">
      <w:bodyDiv w:val="1"/>
      <w:marLeft w:val="0"/>
      <w:marRight w:val="0"/>
      <w:marTop w:val="0"/>
      <w:marBottom w:val="0"/>
      <w:divBdr>
        <w:top w:val="none" w:sz="0" w:space="0" w:color="auto"/>
        <w:left w:val="none" w:sz="0" w:space="0" w:color="auto"/>
        <w:bottom w:val="none" w:sz="0" w:space="0" w:color="auto"/>
        <w:right w:val="none" w:sz="0" w:space="0" w:color="auto"/>
      </w:divBdr>
      <w:divsChild>
        <w:div w:id="1966085293">
          <w:marLeft w:val="0"/>
          <w:marRight w:val="0"/>
          <w:marTop w:val="0"/>
          <w:marBottom w:val="0"/>
          <w:divBdr>
            <w:top w:val="none" w:sz="0" w:space="0" w:color="auto"/>
            <w:left w:val="none" w:sz="0" w:space="0" w:color="auto"/>
            <w:bottom w:val="none" w:sz="0" w:space="0" w:color="auto"/>
            <w:right w:val="none" w:sz="0" w:space="0" w:color="auto"/>
          </w:divBdr>
          <w:divsChild>
            <w:div w:id="928733724">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r.gov/introduction-investing/general-resources/news-alerts/alerts-bulletins/investor-bulletins-51" TargetMode="External"/><Relationship Id="rId3" Type="http://schemas.openxmlformats.org/officeDocument/2006/relationships/settings" Target="settings.xml"/><Relationship Id="rId7" Type="http://schemas.openxmlformats.org/officeDocument/2006/relationships/hyperlink" Target="https://www.investopedia.com/terms/m/marginaccount.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s/short.asp" TargetMode="External"/><Relationship Id="rId11" Type="http://schemas.openxmlformats.org/officeDocument/2006/relationships/fontTable" Target="fontTable.xml"/><Relationship Id="rId5" Type="http://schemas.openxmlformats.org/officeDocument/2006/relationships/hyperlink" Target="https://www.investopedia.com/terms/l/long.asp" TargetMode="External"/><Relationship Id="rId10" Type="http://schemas.openxmlformats.org/officeDocument/2006/relationships/hyperlink" Target="https://www.investopedia.com/terms/m/maintenancemargin.asp" TargetMode="External"/><Relationship Id="rId4" Type="http://schemas.openxmlformats.org/officeDocument/2006/relationships/webSettings" Target="webSettings.xml"/><Relationship Id="rId9" Type="http://schemas.openxmlformats.org/officeDocument/2006/relationships/hyperlink" Target="https://www.investopedia.com/terms/m/margincal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CLARKE</dc:creator>
  <cp:keywords/>
  <dc:description/>
  <cp:lastModifiedBy>REED CLARKE</cp:lastModifiedBy>
  <cp:revision>3</cp:revision>
  <dcterms:created xsi:type="dcterms:W3CDTF">2024-07-04T21:39:00Z</dcterms:created>
  <dcterms:modified xsi:type="dcterms:W3CDTF">2024-07-04T21:51:00Z</dcterms:modified>
</cp:coreProperties>
</file>