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Aptos" w:hAnsi="Aptos"/>
        </w:rPr>
        <w:t>Markets / Quantitative Analytics / AI</w:t>
      </w:r>
    </w:p>
    <w:p>
      <w:pPr>
        <w:jc w:val="center"/>
      </w:pPr>
      <w:r>
        <w:rPr>
          <w:rFonts w:ascii="Aptos" w:hAnsi="Aptos"/>
        </w:rPr>
        <w:t>Complete Interview Preparation</w:t>
      </w:r>
    </w:p>
    <w:p>
      <w:pPr>
        <w:spacing w:before="240"/>
        <w:jc w:val="center"/>
      </w:pPr>
      <w:r>
        <w:rPr>
          <w:rFonts w:ascii="Aptos" w:hAnsi="Aptos"/>
        </w:rPr>
        <w:t>CV Questions, Best Answers &amp; Technical Markets Deep Dives</w:t>
      </w:r>
    </w:p>
    <w:p>
      <w:pPr>
        <w:spacing w:before="500"/>
        <w:jc w:val="center"/>
      </w:pPr>
      <w:r>
        <w:rPr>
          <w:rFonts w:ascii="Aptos" w:hAnsi="Aptos"/>
        </w:rPr>
        <w:t>Leadership | Applied AI | Quantitative Markets | Production ML</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E7E6E6"/>
            <w:tcMar>
              <w:top w:w="110" w:type="dxa"/>
              <w:start w:w="140" w:type="dxa"/>
              <w:bottom w:w="110" w:type="dxa"/>
              <w:end w:w="140" w:type="dxa"/>
            </w:tcMar>
          </w:tcPr>
          <w:p>
            <w:pPr>
              <w:spacing w:after="40"/>
            </w:pPr>
            <w:r>
              <w:t>CRITICAL EVIDENCE DISCIPLINE</w:t>
            </w:r>
          </w:p>
          <w:p>
            <w:pPr>
              <w:spacing w:after="0"/>
            </w:pPr>
            <w:r>
              <w:t>This combined guide contains two layers. Part I provides conversational interview answers based on the CV and mock-interview discussion. Part II contains technically credible but partly hypothetical reconstructions of the Markets examples. Detailed datasets, horizons, model configurations, numerical results and implementation choices in those reconstructions are illustrative unless you personally verify them from memory or authorised records. Use them to understand and defend the methodology, not as historical facts to memorise.</w:t>
            </w:r>
          </w:p>
        </w:tc>
      </w:tr>
    </w:tbl>
    <w:p>
      <w:pPr>
        <w:spacing w:after="0"/>
      </w:pPr>
    </w:p>
    <w:p>
      <w:pPr>
        <w:spacing w:before="240"/>
        <w:jc w:val="center"/>
      </w:pPr>
      <w:r>
        <w:rPr>
          <w:rFonts w:ascii="Arial" w:hAnsi="Arial"/>
          <w:i/>
          <w:color w:val="595959"/>
          <w:sz w:val="17"/>
        </w:rPr>
        <w:t>Prepared as a technical study guide - not for external distribution</w:t>
      </w:r>
    </w:p>
    <w:p>
      <w:r>
        <w:br w:type="page"/>
      </w:r>
    </w:p>
    <w:p>
      <w:pPr>
        <w:pStyle w:val="Heading1"/>
        <w:keepNext/>
        <w:spacing w:before="240" w:after="100"/>
      </w:pPr>
      <w:r>
        <w:rPr>
          <w:rFonts w:ascii="Arial" w:hAnsi="Arial"/>
          <w:b/>
          <w:sz w:val="30"/>
        </w:rPr>
        <w:t>How to use this document</w:t>
      </w:r>
    </w:p>
    <w:p>
      <w:pPr>
        <w:keepNext w:val="0"/>
        <w:spacing w:after="100" w:line="252" w:lineRule="auto"/>
      </w:pPr>
      <w:r>
        <w:t>Use this document in two passes. Part I is for practising concise 45-90 second answers to leadership, production AI and CV questions. Part II is for going deeper on the Markets projects when an interviewer probes the data, target, features, models, validation, economics, limitations or implementation. The aim is to be able to start with a clear headline answer and then add technical depth without drifting into unsupported detail.</w:t>
      </w:r>
    </w:p>
    <w:p>
      <w:pPr>
        <w:pStyle w:val="Heading2"/>
        <w:keepNext/>
        <w:spacing w:before="160" w:after="100"/>
      </w:pPr>
      <w:r>
        <w:t>Evidence labels used in the technical reconstruction sections</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18"/>
        <w:gridCol w:w="5018"/>
      </w:tblGrid>
      <w:tr>
        <w:trPr>
          <w:tblHeader w:val="true"/>
        </w:trPr>
        <w:tc>
          <w:tcPr>
            <w:tcW w:type="dxa" w:w="2268"/>
            <w:shd w:fill="D9E1F2"/>
            <w:tcMar>
              <w:top w:w="80" w:type="dxa"/>
              <w:start w:w="80" w:type="dxa"/>
              <w:bottom w:w="80" w:type="dxa"/>
              <w:end w:w="80" w:type="dxa"/>
            </w:tcMar>
            <w:vAlign w:val="center"/>
          </w:tcPr>
          <w:p>
            <w:pPr>
              <w:jc w:val="left"/>
            </w:pPr>
            <w:r>
              <w:rPr>
                <w:rFonts w:ascii="Arial" w:hAnsi="Arial"/>
                <w:b/>
                <w:sz w:val="17"/>
              </w:rPr>
              <w:t>Label</w:t>
            </w:r>
          </w:p>
        </w:tc>
        <w:tc>
          <w:tcPr>
            <w:tcW w:type="dxa" w:w="7483"/>
            <w:shd w:fill="D9E1F2"/>
            <w:tcMar>
              <w:top w:w="80" w:type="dxa"/>
              <w:start w:w="80" w:type="dxa"/>
              <w:bottom w:w="80" w:type="dxa"/>
              <w:end w:w="80" w:type="dxa"/>
            </w:tcMar>
            <w:vAlign w:val="center"/>
          </w:tcPr>
          <w:p>
            <w:pPr>
              <w:jc w:val="left"/>
            </w:pPr>
            <w:r>
              <w:rPr>
                <w:rFonts w:ascii="Arial" w:hAnsi="Arial"/>
                <w:b/>
                <w:sz w:val="17"/>
              </w:rPr>
              <w:t>Meaning</w:t>
            </w:r>
          </w:p>
        </w:tc>
      </w:tr>
      <w:tr>
        <w:tc>
          <w:tcPr>
            <w:tcW w:type="dxa" w:w="2268"/>
            <w:tcMar>
              <w:top w:w="75" w:type="dxa"/>
              <w:start w:w="80" w:type="dxa"/>
              <w:bottom w:w="75" w:type="dxa"/>
              <w:end w:w="80" w:type="dxa"/>
            </w:tcMar>
            <w:vAlign w:val="top"/>
          </w:tcPr>
          <w:p>
            <w:pPr>
              <w:spacing w:after="0"/>
            </w:pPr>
            <w:r>
              <w:rPr>
                <w:rFonts w:ascii="Arial" w:hAnsi="Arial"/>
                <w:b/>
                <w:sz w:val="17"/>
              </w:rPr>
              <w:t>CV CLAIM</w:t>
            </w:r>
          </w:p>
        </w:tc>
        <w:tc>
          <w:tcPr>
            <w:tcW w:type="dxa" w:w="7483"/>
            <w:tcMar>
              <w:top w:w="75" w:type="dxa"/>
              <w:start w:w="80" w:type="dxa"/>
              <w:bottom w:w="75" w:type="dxa"/>
              <w:end w:w="80" w:type="dxa"/>
            </w:tcMar>
            <w:vAlign w:val="top"/>
          </w:tcPr>
          <w:p>
            <w:pPr>
              <w:spacing w:after="0"/>
            </w:pPr>
            <w:r>
              <w:rPr>
                <w:rFonts w:ascii="Arial" w:hAnsi="Arial"/>
                <w:b w:val="0"/>
                <w:sz w:val="17"/>
              </w:rPr>
              <w:t>Wording supported by the CV / interview handbook.</w:t>
            </w:r>
          </w:p>
        </w:tc>
      </w:tr>
      <w:tr>
        <w:tc>
          <w:tcPr>
            <w:tcW w:type="dxa" w:w="2268"/>
            <w:tcMar>
              <w:top w:w="75" w:type="dxa"/>
              <w:start w:w="80" w:type="dxa"/>
              <w:bottom w:w="75" w:type="dxa"/>
              <w:end w:w="80" w:type="dxa"/>
            </w:tcMar>
            <w:vAlign w:val="top"/>
          </w:tcPr>
          <w:p>
            <w:pPr>
              <w:spacing w:after="0"/>
            </w:pPr>
            <w:r>
              <w:rPr>
                <w:rFonts w:ascii="Arial" w:hAnsi="Arial"/>
                <w:b/>
                <w:sz w:val="17"/>
              </w:rPr>
              <w:t>HYPOTHETICAL DESIGN</w:t>
            </w:r>
          </w:p>
        </w:tc>
        <w:tc>
          <w:tcPr>
            <w:tcW w:type="dxa" w:w="7483"/>
            <w:tcMar>
              <w:top w:w="75" w:type="dxa"/>
              <w:start w:w="80" w:type="dxa"/>
              <w:bottom w:w="75" w:type="dxa"/>
              <w:end w:w="80" w:type="dxa"/>
            </w:tcMar>
            <w:vAlign w:val="top"/>
          </w:tcPr>
          <w:p>
            <w:pPr>
              <w:spacing w:after="0"/>
            </w:pPr>
            <w:r>
              <w:rPr>
                <w:rFonts w:ascii="Arial" w:hAnsi="Arial"/>
                <w:b w:val="0"/>
                <w:sz w:val="17"/>
              </w:rPr>
              <w:t>A technically plausible implementation chosen for training.</w:t>
            </w:r>
          </w:p>
        </w:tc>
      </w:tr>
      <w:tr>
        <w:tc>
          <w:tcPr>
            <w:tcW w:type="dxa" w:w="2268"/>
            <w:tcMar>
              <w:top w:w="75" w:type="dxa"/>
              <w:start w:w="80" w:type="dxa"/>
              <w:bottom w:w="75" w:type="dxa"/>
              <w:end w:w="80" w:type="dxa"/>
            </w:tcMar>
            <w:vAlign w:val="top"/>
          </w:tcPr>
          <w:p>
            <w:pPr>
              <w:spacing w:after="0"/>
            </w:pPr>
            <w:r>
              <w:rPr>
                <w:rFonts w:ascii="Arial" w:hAnsi="Arial"/>
                <w:b/>
                <w:sz w:val="17"/>
              </w:rPr>
              <w:t>ILLUSTRATIVE RESULT</w:t>
            </w:r>
          </w:p>
        </w:tc>
        <w:tc>
          <w:tcPr>
            <w:tcW w:type="dxa" w:w="7483"/>
            <w:tcMar>
              <w:top w:w="75" w:type="dxa"/>
              <w:start w:w="80" w:type="dxa"/>
              <w:bottom w:w="75" w:type="dxa"/>
              <w:end w:w="80" w:type="dxa"/>
            </w:tcMar>
            <w:vAlign w:val="top"/>
          </w:tcPr>
          <w:p>
            <w:pPr>
              <w:spacing w:after="0"/>
            </w:pPr>
            <w:r>
              <w:rPr>
                <w:rFonts w:ascii="Arial" w:hAnsi="Arial"/>
                <w:b w:val="0"/>
                <w:sz w:val="17"/>
              </w:rPr>
              <w:t>A realistic numerical example only; not a historical result.</w:t>
            </w:r>
          </w:p>
        </w:tc>
      </w:tr>
      <w:tr>
        <w:tc>
          <w:tcPr>
            <w:tcW w:type="dxa" w:w="2268"/>
            <w:tcMar>
              <w:top w:w="75" w:type="dxa"/>
              <w:start w:w="80" w:type="dxa"/>
              <w:bottom w:w="75" w:type="dxa"/>
              <w:end w:w="80" w:type="dxa"/>
            </w:tcMar>
            <w:vAlign w:val="top"/>
          </w:tcPr>
          <w:p>
            <w:pPr>
              <w:spacing w:after="0"/>
            </w:pPr>
            <w:r>
              <w:rPr>
                <w:rFonts w:ascii="Arial" w:hAnsi="Arial"/>
                <w:b/>
                <w:sz w:val="17"/>
              </w:rPr>
              <w:t>VERIFY</w:t>
            </w:r>
          </w:p>
        </w:tc>
        <w:tc>
          <w:tcPr>
            <w:tcW w:type="dxa" w:w="7483"/>
            <w:tcMar>
              <w:top w:w="75" w:type="dxa"/>
              <w:start w:w="80" w:type="dxa"/>
              <w:bottom w:w="75" w:type="dxa"/>
              <w:end w:w="80" w:type="dxa"/>
            </w:tcMar>
            <w:vAlign w:val="top"/>
          </w:tcPr>
          <w:p>
            <w:pPr>
              <w:spacing w:after="0"/>
            </w:pPr>
            <w:r>
              <w:rPr>
                <w:rFonts w:ascii="Arial" w:hAnsi="Arial"/>
                <w:b w:val="0"/>
                <w:sz w:val="17"/>
              </w:rPr>
              <w:t>A detail that should be recovered from your memory or authorised project material before interview use.</w:t>
            </w:r>
          </w:p>
        </w:tc>
      </w:tr>
      <w:tr>
        <w:tc>
          <w:tcPr>
            <w:tcW w:type="dxa" w:w="2268"/>
            <w:tcMar>
              <w:top w:w="75" w:type="dxa"/>
              <w:start w:w="80" w:type="dxa"/>
              <w:bottom w:w="75" w:type="dxa"/>
              <w:end w:w="80" w:type="dxa"/>
            </w:tcMar>
            <w:vAlign w:val="top"/>
          </w:tcPr>
          <w:p>
            <w:pPr>
              <w:spacing w:after="0"/>
            </w:pPr>
            <w:r>
              <w:rPr>
                <w:rFonts w:ascii="Arial" w:hAnsi="Arial"/>
                <w:b/>
                <w:sz w:val="17"/>
              </w:rPr>
              <w:t>TODAY</w:t>
            </w:r>
          </w:p>
        </w:tc>
        <w:tc>
          <w:tcPr>
            <w:tcW w:type="dxa" w:w="7483"/>
            <w:tcMar>
              <w:top w:w="75" w:type="dxa"/>
              <w:start w:w="80" w:type="dxa"/>
              <w:bottom w:w="75" w:type="dxa"/>
              <w:end w:w="80" w:type="dxa"/>
            </w:tcMar>
            <w:vAlign w:val="top"/>
          </w:tcPr>
          <w:p>
            <w:pPr>
              <w:spacing w:after="0"/>
            </w:pPr>
            <w:r>
              <w:rPr>
                <w:rFonts w:ascii="Arial" w:hAnsi="Arial"/>
                <w:b w:val="0"/>
                <w:sz w:val="17"/>
              </w:rPr>
              <w:t>How the approach might be improved if redesigned now; not a claim about the historical implementation.</w:t>
            </w:r>
          </w:p>
        </w:tc>
      </w:tr>
    </w:tbl>
    <w:p>
      <w:pPr>
        <w:spacing w:after="0"/>
      </w:pPr>
    </w:p>
    <w:p>
      <w:pPr>
        <w:pStyle w:val="Heading2"/>
        <w:keepNext/>
        <w:spacing w:before="160" w:after="100"/>
      </w:pPr>
      <w:r>
        <w:rPr>
          <w:rFonts w:ascii="Arial" w:hAnsi="Arial"/>
          <w:b/>
          <w:sz w:val="25"/>
        </w:rPr>
        <w:t>The five stories and how they connect</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2381"/>
            <w:shd w:fill="D9E1F2"/>
            <w:tcMar>
              <w:top w:w="80" w:type="dxa"/>
              <w:start w:w="80" w:type="dxa"/>
              <w:bottom w:w="80" w:type="dxa"/>
              <w:end w:w="80" w:type="dxa"/>
            </w:tcMar>
            <w:vAlign w:val="center"/>
          </w:tcPr>
          <w:p>
            <w:pPr>
              <w:jc w:val="left"/>
            </w:pPr>
            <w:r>
              <w:rPr>
                <w:rFonts w:ascii="Arial" w:hAnsi="Arial"/>
                <w:b/>
                <w:sz w:val="16"/>
              </w:rPr>
              <w:t>CV bullet</w:t>
            </w:r>
          </w:p>
        </w:tc>
        <w:tc>
          <w:tcPr>
            <w:tcW w:type="dxa" w:w="4025"/>
            <w:shd w:fill="D9E1F2"/>
            <w:tcMar>
              <w:top w:w="80" w:type="dxa"/>
              <w:start w:w="80" w:type="dxa"/>
              <w:bottom w:w="80" w:type="dxa"/>
              <w:end w:w="80" w:type="dxa"/>
            </w:tcMar>
            <w:vAlign w:val="center"/>
          </w:tcPr>
          <w:p>
            <w:pPr>
              <w:jc w:val="left"/>
            </w:pPr>
            <w:r>
              <w:rPr>
                <w:rFonts w:ascii="Arial" w:hAnsi="Arial"/>
                <w:b/>
                <w:sz w:val="16"/>
              </w:rPr>
              <w:t>What it should prove in interview</w:t>
            </w:r>
          </w:p>
        </w:tc>
        <w:tc>
          <w:tcPr>
            <w:tcW w:type="dxa" w:w="3345"/>
            <w:shd w:fill="D9E1F2"/>
            <w:tcMar>
              <w:top w:w="80" w:type="dxa"/>
              <w:start w:w="80" w:type="dxa"/>
              <w:bottom w:w="80" w:type="dxa"/>
              <w:end w:w="80" w:type="dxa"/>
            </w:tcMar>
            <w:vAlign w:val="center"/>
          </w:tcPr>
          <w:p>
            <w:pPr>
              <w:jc w:val="left"/>
            </w:pPr>
            <w:r>
              <w:rPr>
                <w:rFonts w:ascii="Arial" w:hAnsi="Arial"/>
                <w:b/>
                <w:sz w:val="16"/>
              </w:rPr>
              <w:t>Relationship</w:t>
            </w:r>
          </w:p>
        </w:tc>
      </w:tr>
      <w:tr>
        <w:tc>
          <w:tcPr>
            <w:tcW w:type="dxa" w:w="2381"/>
            <w:tcMar>
              <w:top w:w="75" w:type="dxa"/>
              <w:start w:w="80" w:type="dxa"/>
              <w:bottom w:w="75" w:type="dxa"/>
              <w:end w:w="80" w:type="dxa"/>
            </w:tcMar>
            <w:vAlign w:val="top"/>
          </w:tcPr>
          <w:p>
            <w:pPr>
              <w:spacing w:after="0"/>
            </w:pPr>
            <w:r>
              <w:rPr>
                <w:rFonts w:ascii="Arial" w:hAnsi="Arial"/>
                <w:b/>
                <w:sz w:val="16"/>
              </w:rPr>
              <w:t>Short-horizon FX prediction</w:t>
            </w:r>
          </w:p>
        </w:tc>
        <w:tc>
          <w:tcPr>
            <w:tcW w:type="dxa" w:w="4025"/>
            <w:tcMar>
              <w:top w:w="75" w:type="dxa"/>
              <w:start w:w="80" w:type="dxa"/>
              <w:bottom w:w="75" w:type="dxa"/>
              <w:end w:w="80" w:type="dxa"/>
            </w:tcMar>
            <w:vAlign w:val="top"/>
          </w:tcPr>
          <w:p>
            <w:pPr>
              <w:spacing w:after="0"/>
            </w:pPr>
            <w:r>
              <w:rPr>
                <w:rFonts w:ascii="Arial" w:hAnsi="Arial"/>
                <w:b w:val="0"/>
                <w:sz w:val="16"/>
              </w:rPr>
              <w:t>You can define a point-in-time prediction problem and connect a forecast to trading economics.</w:t>
            </w:r>
          </w:p>
        </w:tc>
        <w:tc>
          <w:tcPr>
            <w:tcW w:type="dxa" w:w="3345"/>
            <w:tcMar>
              <w:top w:w="75" w:type="dxa"/>
              <w:start w:w="80" w:type="dxa"/>
              <w:bottom w:w="75" w:type="dxa"/>
              <w:end w:w="80" w:type="dxa"/>
            </w:tcMar>
            <w:vAlign w:val="top"/>
          </w:tcPr>
          <w:p>
            <w:pPr>
              <w:spacing w:after="0"/>
            </w:pPr>
            <w:r>
              <w:rPr>
                <w:rFonts w:ascii="Arial" w:hAnsi="Arial"/>
                <w:b w:val="0"/>
                <w:sz w:val="16"/>
              </w:rPr>
              <w:t>Core FX project.</w:t>
            </w:r>
          </w:p>
        </w:tc>
      </w:tr>
      <w:tr>
        <w:tc>
          <w:tcPr>
            <w:tcW w:type="dxa" w:w="2381"/>
            <w:tcMar>
              <w:top w:w="75" w:type="dxa"/>
              <w:start w:w="80" w:type="dxa"/>
              <w:bottom w:w="75" w:type="dxa"/>
              <w:end w:w="80" w:type="dxa"/>
            </w:tcMar>
            <w:vAlign w:val="top"/>
          </w:tcPr>
          <w:p>
            <w:pPr>
              <w:spacing w:after="0"/>
            </w:pPr>
            <w:r>
              <w:rPr>
                <w:rFonts w:ascii="Arial" w:hAnsi="Arial"/>
                <w:b/>
                <w:sz w:val="16"/>
              </w:rPr>
              <w:t>Signal research &amp; validation</w:t>
            </w:r>
          </w:p>
        </w:tc>
        <w:tc>
          <w:tcPr>
            <w:tcW w:type="dxa" w:w="4025"/>
            <w:tcMar>
              <w:top w:w="75" w:type="dxa"/>
              <w:start w:w="80" w:type="dxa"/>
              <w:bottom w:w="75" w:type="dxa"/>
              <w:end w:w="80" w:type="dxa"/>
            </w:tcMar>
            <w:vAlign w:val="top"/>
          </w:tcPr>
          <w:p>
            <w:pPr>
              <w:spacing w:after="0"/>
            </w:pPr>
            <w:r>
              <w:rPr>
                <w:rFonts w:ascii="Arial" w:hAnsi="Arial"/>
                <w:b w:val="0"/>
                <w:sz w:val="16"/>
              </w:rPr>
              <w:t>You understand feature hypotheses, regularisation, time-aware model selection, stacking, leakage and evidence.</w:t>
            </w:r>
          </w:p>
        </w:tc>
        <w:tc>
          <w:tcPr>
            <w:tcW w:type="dxa" w:w="3345"/>
            <w:tcMar>
              <w:top w:w="75" w:type="dxa"/>
              <w:start w:w="80" w:type="dxa"/>
              <w:bottom w:w="75" w:type="dxa"/>
              <w:end w:w="80" w:type="dxa"/>
            </w:tcMar>
            <w:vAlign w:val="top"/>
          </w:tcPr>
          <w:p>
            <w:pPr>
              <w:spacing w:after="0"/>
            </w:pPr>
            <w:r>
              <w:rPr>
                <w:rFonts w:ascii="Arial" w:hAnsi="Arial"/>
                <w:b w:val="0"/>
                <w:sz w:val="16"/>
              </w:rPr>
              <w:t>Research methodology underlying the FX project.</w:t>
            </w:r>
          </w:p>
        </w:tc>
      </w:tr>
      <w:tr>
        <w:tc>
          <w:tcPr>
            <w:tcW w:type="dxa" w:w="2381"/>
            <w:tcMar>
              <w:top w:w="75" w:type="dxa"/>
              <w:start w:w="80" w:type="dxa"/>
              <w:bottom w:w="75" w:type="dxa"/>
              <w:end w:w="80" w:type="dxa"/>
            </w:tcMar>
            <w:vAlign w:val="top"/>
          </w:tcPr>
          <w:p>
            <w:pPr>
              <w:spacing w:after="0"/>
            </w:pPr>
            <w:r>
              <w:rPr>
                <w:rFonts w:ascii="Arial" w:hAnsi="Arial"/>
                <w:b/>
                <w:sz w:val="16"/>
              </w:rPr>
              <w:t>Electronic RFQ pricing</w:t>
            </w:r>
          </w:p>
        </w:tc>
        <w:tc>
          <w:tcPr>
            <w:tcW w:type="dxa" w:w="4025"/>
            <w:tcMar>
              <w:top w:w="75" w:type="dxa"/>
              <w:start w:w="80" w:type="dxa"/>
              <w:bottom w:w="75" w:type="dxa"/>
              <w:end w:w="80" w:type="dxa"/>
            </w:tcMar>
            <w:vAlign w:val="top"/>
          </w:tcPr>
          <w:p>
            <w:pPr>
              <w:spacing w:after="0"/>
            </w:pPr>
            <w:r>
              <w:rPr>
                <w:rFonts w:ascii="Arial" w:hAnsi="Arial"/>
                <w:b w:val="0"/>
                <w:sz w:val="16"/>
              </w:rPr>
              <w:t>You can distinguish fair value, client response probability and quoting policy; you understand calibrated probability models.</w:t>
            </w:r>
          </w:p>
        </w:tc>
        <w:tc>
          <w:tcPr>
            <w:tcW w:type="dxa" w:w="3345"/>
            <w:tcMar>
              <w:top w:w="75" w:type="dxa"/>
              <w:start w:w="80" w:type="dxa"/>
              <w:bottom w:w="75" w:type="dxa"/>
              <w:end w:w="80" w:type="dxa"/>
            </w:tcMar>
            <w:vAlign w:val="top"/>
          </w:tcPr>
          <w:p>
            <w:pPr>
              <w:spacing w:after="0"/>
            </w:pPr>
            <w:r>
              <w:rPr>
                <w:rFonts w:ascii="Arial" w:hAnsi="Arial"/>
                <w:b w:val="0"/>
                <w:sz w:val="16"/>
              </w:rPr>
              <w:t>Core RFQ / market-making project.</w:t>
            </w:r>
          </w:p>
        </w:tc>
      </w:tr>
      <w:tr>
        <w:tc>
          <w:tcPr>
            <w:tcW w:type="dxa" w:w="2381"/>
            <w:tcMar>
              <w:top w:w="75" w:type="dxa"/>
              <w:start w:w="80" w:type="dxa"/>
              <w:bottom w:w="75" w:type="dxa"/>
              <w:end w:w="80" w:type="dxa"/>
            </w:tcMar>
            <w:vAlign w:val="top"/>
          </w:tcPr>
          <w:p>
            <w:pPr>
              <w:spacing w:after="0"/>
            </w:pPr>
            <w:r>
              <w:rPr>
                <w:rFonts w:ascii="Arial" w:hAnsi="Arial"/>
                <w:b/>
                <w:sz w:val="16"/>
              </w:rPr>
              <w:t>Market-making economics</w:t>
            </w:r>
          </w:p>
        </w:tc>
        <w:tc>
          <w:tcPr>
            <w:tcW w:type="dxa" w:w="4025"/>
            <w:tcMar>
              <w:top w:w="75" w:type="dxa"/>
              <w:start w:w="80" w:type="dxa"/>
              <w:bottom w:w="75" w:type="dxa"/>
              <w:end w:w="80" w:type="dxa"/>
            </w:tcMar>
            <w:vAlign w:val="top"/>
          </w:tcPr>
          <w:p>
            <w:pPr>
              <w:spacing w:after="0"/>
            </w:pPr>
            <w:r>
              <w:rPr>
                <w:rFonts w:ascii="Arial" w:hAnsi="Arial"/>
                <w:b w:val="0"/>
                <w:sz w:val="16"/>
              </w:rPr>
              <w:t>You can translate probability into expected contribution, account for hedge/adverse selection/inventory, and avoid hit-rate optimisation.</w:t>
            </w:r>
          </w:p>
        </w:tc>
        <w:tc>
          <w:tcPr>
            <w:tcW w:type="dxa" w:w="3345"/>
            <w:tcMar>
              <w:top w:w="75" w:type="dxa"/>
              <w:start w:w="80" w:type="dxa"/>
              <w:bottom w:w="75" w:type="dxa"/>
              <w:end w:w="80" w:type="dxa"/>
            </w:tcMar>
            <w:vAlign w:val="top"/>
          </w:tcPr>
          <w:p>
            <w:pPr>
              <w:spacing w:after="0"/>
            </w:pPr>
            <w:r>
              <w:rPr>
                <w:rFonts w:ascii="Arial" w:hAnsi="Arial"/>
                <w:b w:val="0"/>
                <w:sz w:val="16"/>
              </w:rPr>
              <w:t>Economic decision layer on top of RFQ models.</w:t>
            </w:r>
          </w:p>
        </w:tc>
      </w:tr>
      <w:tr>
        <w:tc>
          <w:tcPr>
            <w:tcW w:type="dxa" w:w="2381"/>
            <w:tcMar>
              <w:top w:w="75" w:type="dxa"/>
              <w:start w:w="80" w:type="dxa"/>
              <w:bottom w:w="75" w:type="dxa"/>
              <w:end w:w="80" w:type="dxa"/>
            </w:tcMar>
            <w:vAlign w:val="top"/>
          </w:tcPr>
          <w:p>
            <w:pPr>
              <w:spacing w:after="0"/>
            </w:pPr>
            <w:r>
              <w:rPr>
                <w:rFonts w:ascii="Arial" w:hAnsi="Arial"/>
                <w:b/>
                <w:sz w:val="16"/>
              </w:rPr>
              <w:t>Broader Markets modelling</w:t>
            </w:r>
          </w:p>
        </w:tc>
        <w:tc>
          <w:tcPr>
            <w:tcW w:type="dxa" w:w="4025"/>
            <w:tcMar>
              <w:top w:w="75" w:type="dxa"/>
              <w:start w:w="80" w:type="dxa"/>
              <w:bottom w:w="75" w:type="dxa"/>
              <w:end w:w="80" w:type="dxa"/>
            </w:tcMar>
            <w:vAlign w:val="top"/>
          </w:tcPr>
          <w:p>
            <w:pPr>
              <w:spacing w:after="0"/>
            </w:pPr>
            <w:r>
              <w:rPr>
                <w:rFonts w:ascii="Arial" w:hAnsi="Arial"/>
                <w:b w:val="0"/>
                <w:sz w:val="16"/>
              </w:rPr>
              <w:t>You can discuss risk measurement, revaluation, Monte Carlo, time-series volatility and liquidity/capacity without conflating them.</w:t>
            </w:r>
          </w:p>
        </w:tc>
        <w:tc>
          <w:tcPr>
            <w:tcW w:type="dxa" w:w="3345"/>
            <w:tcMar>
              <w:top w:w="75" w:type="dxa"/>
              <w:start w:w="80" w:type="dxa"/>
              <w:bottom w:w="75" w:type="dxa"/>
              <w:end w:w="80" w:type="dxa"/>
            </w:tcMar>
            <w:vAlign w:val="top"/>
          </w:tcPr>
          <w:p>
            <w:pPr>
              <w:spacing w:after="0"/>
            </w:pPr>
            <w:r>
              <w:rPr>
                <w:rFonts w:ascii="Arial" w:hAnsi="Arial"/>
                <w:b w:val="0"/>
                <w:sz w:val="16"/>
              </w:rPr>
              <w:t>Umbrella of separate quantitative problems; do not present as one single model.</w:t>
            </w:r>
          </w:p>
        </w:tc>
      </w:tr>
    </w:tbl>
    <w:p>
      <w:pPr>
        <w:spacing w:after="0"/>
      </w:pPr>
    </w:p>
    <w:p>
      <w:pPr>
        <w:pStyle w:val="Heading2"/>
        <w:keepNext/>
        <w:spacing w:before="160" w:after="100"/>
      </w:pPr>
      <w:r>
        <w:rPr>
          <w:rFonts w:ascii="Arial" w:hAnsi="Arial"/>
          <w:b/>
          <w:sz w:val="25"/>
        </w:rPr>
        <w:t>Recommended answer structure</w:t>
      </w:r>
    </w:p>
    <w:p>
      <w:pPr>
        <w:spacing w:after="50"/>
        <w:ind w:left="312" w:hanging="255"/>
      </w:pPr>
      <w:r>
        <w:rPr>
          <w:rFonts w:ascii="Arial" w:hAnsi="Arial"/>
        </w:rPr>
        <w:t>1.  Start with the business decision: what was being predicted, priced, hedged or measured?</w:t>
      </w:r>
    </w:p>
    <w:p>
      <w:pPr>
        <w:spacing w:after="50"/>
        <w:ind w:left="312" w:hanging="255"/>
      </w:pPr>
      <w:r>
        <w:rPr>
          <w:rFonts w:ascii="Arial" w:hAnsi="Arial"/>
        </w:rPr>
        <w:t>2.  Define the observation, target, timestamp and units before describing the algorithm.</w:t>
      </w:r>
    </w:p>
    <w:p>
      <w:pPr>
        <w:spacing w:after="50"/>
        <w:ind w:left="312" w:hanging="255"/>
      </w:pPr>
      <w:r>
        <w:rPr>
          <w:rFonts w:ascii="Arial" w:hAnsi="Arial"/>
        </w:rPr>
        <w:t>3.  Explain the data and why each feature has an economic hypothesis.</w:t>
      </w:r>
    </w:p>
    <w:p>
      <w:pPr>
        <w:spacing w:after="50"/>
        <w:ind w:left="312" w:hanging="255"/>
      </w:pPr>
      <w:r>
        <w:rPr>
          <w:rFonts w:ascii="Arial" w:hAnsi="Arial"/>
        </w:rPr>
        <w:t>4.  Explain model choice and the baseline it had to beat.</w:t>
      </w:r>
    </w:p>
    <w:p>
      <w:pPr>
        <w:spacing w:after="50"/>
        <w:ind w:left="312" w:hanging="255"/>
      </w:pPr>
      <w:r>
        <w:rPr>
          <w:rFonts w:ascii="Arial" w:hAnsi="Arial"/>
        </w:rPr>
        <w:t>5.  Explain time-aware validation, leakage controls and realistic costs.</w:t>
      </w:r>
    </w:p>
    <w:p>
      <w:pPr>
        <w:spacing w:after="50"/>
        <w:ind w:left="312" w:hanging="255"/>
      </w:pPr>
      <w:r>
        <w:rPr>
          <w:rFonts w:ascii="Arial" w:hAnsi="Arial"/>
        </w:rPr>
        <w:t>6.  State the result at the correct scope: forecast quality, simulated policy result or live outcome are not interchangeable.</w:t>
      </w:r>
    </w:p>
    <w:p>
      <w:pPr>
        <w:spacing w:after="50"/>
        <w:ind w:left="312" w:hanging="255"/>
      </w:pPr>
      <w:r>
        <w:rPr>
          <w:rFonts w:ascii="Arial" w:hAnsi="Arial"/>
        </w:rPr>
        <w:t>7.  Finish with limitations, what failed, and what you would improve today.</w:t>
      </w:r>
    </w:p>
    <w:p>
      <w:r>
        <w:br w:type="page"/>
      </w:r>
    </w:p>
    <w:p>
      <w:pPr>
        <w:pStyle w:val="Heading1"/>
        <w:keepNext w:val="0"/>
      </w:pPr>
      <w:r>
        <w:t>Part I - CV Interview Questions &amp; Best Answers</w:t>
      </w:r>
    </w:p>
    <w:tbl>
      <w:tblPr>
        <w:tblW w:type="auto" w:w="0"/>
        <w:jc w:val="center"/>
        <w:tblLayout w:type="autofit"/>
        <w:tblLook w:firstColumn="1" w:firstRow="1" w:lastColumn="0" w:lastRow="0" w:noHBand="0" w:noVBand="1" w:val="04A0"/>
      </w:tblPr>
      <w:tblGrid>
        <w:gridCol w:w="10080"/>
      </w:tblGrid>
      <w:tr>
        <w:tc>
          <w:tcPr>
            <w:tcW w:type="dxa" w:w="10080"/>
            <w:vAlign w:val="center"/>
            <w:shd w:fill="F2F2F2"/>
          </w:tcPr>
          <w:p>
            <w:r>
              <w:rPr>
                <w:b/>
              </w:rPr>
              <w:t>How to use this document</w:t>
            </w:r>
            <w:r>
              <w:br/>
              <w:t>Start with the headline answer, give one concrete example, and stop. Most answers should be 45–90 seconds. The wording below is deliberately conversational: use it as a model, not as a script you must memorise word for word.</w:t>
            </w:r>
          </w:p>
        </w:tc>
      </w:tr>
    </w:tbl>
    <w:p/>
    <w:p>
      <w:pPr>
        <w:pStyle w:val="Question"/>
      </w:pPr>
      <w:r>
        <w:t>1. Walk me through your background and explain how you moved from quantitative work into leading Applied AI in banking.</w:t>
      </w:r>
    </w:p>
    <w:p>
      <w:pPr>
        <w:pStyle w:val="Answer"/>
      </w:pPr>
      <w:r>
        <w:rPr>
          <w:b/>
        </w:rPr>
        <w:t>Best answer</w:t>
        <w:br/>
      </w:r>
      <w:r>
        <w:t>I started my career in research and applied machine learning, and I joined Barclays in 2018 in an Applied AI and Big Data team. That role gave me exposure to a wide range of business problems across the bank and helped me build a strong practical foundation in machine learning.</w:t>
      </w:r>
    </w:p>
    <w:p>
      <w:pPr>
        <w:pStyle w:val="Answer"/>
      </w:pPr>
      <w:r>
        <w:t>I then moved into Quantitative Analytics in Risk, where I spent roughly three years working on quantitative models and production analytics. That gave me a much stronger grounding in model design, validation, controls and working in a regulated environment.</w:t>
      </w:r>
    </w:p>
    <w:p>
      <w:pPr>
        <w:pStyle w:val="Answer"/>
      </w:pPr>
      <w:r>
        <w:t>Since 2022, I have been leading Applied AI and machine learning capabilities at Director level. My scope has grown from individual use cases into an end-to-end capability: model development, data and feature engineering, MLOps, platform architecture, production inference and governance. Today I lead a multidisciplinary organisation of more than 80 people, and we have more than 30 models live across fraud, financial crime and other control areas in the UK, US and Asia.</w:t>
      </w:r>
    </w:p>
    <w:p>
      <w:pPr>
        <w:pStyle w:val="Answer"/>
      </w:pPr>
      <w:r>
        <w:t>What I am looking for now is to bring those two parts of my background together: the quantitative discipline from my earlier roles and the experience of taking advanced AI into production at scale. That is why a markets-focused AI or quantitative role is particularly attractive to me.</w:t>
      </w:r>
    </w:p>
    <w:p>
      <w:pPr>
        <w:pStyle w:val="Note"/>
      </w:pPr>
      <w:r>
        <w:rPr>
          <w:b/>
        </w:rPr>
        <w:t xml:space="preserve">Interview note: </w:t>
      </w:r>
      <w:r>
        <w:t>What to emphasise: progression, scale, production ownership, and the reason for the move. Avoid spending too long on early experimental projects.</w:t>
      </w:r>
    </w:p>
    <w:p>
      <w:pPr>
        <w:pStyle w:val="Question"/>
      </w:pPr>
      <w:r>
        <w:t>2. Give me one concrete example of a low-latency model you put into production. What was the latency target and what did you change technically?</w:t>
      </w:r>
    </w:p>
    <w:p>
      <w:pPr>
        <w:pStyle w:val="Answer"/>
      </w:pPr>
      <w:r>
        <w:rPr>
          <w:b/>
        </w:rPr>
        <w:t>Best answer</w:t>
        <w:br/>
      </w:r>
      <w:r>
        <w:t>One good example is real-time transaction decisioning. The original end-to-end SLA was around 100 milliseconds, and we managed to bring the critical path below 20 milliseconds.</w:t>
      </w:r>
    </w:p>
    <w:p>
      <w:pPr>
        <w:pStyle w:val="Answer"/>
      </w:pPr>
      <w:r>
        <w:t>The important point is that we did not immediately assume the model itself was the bottleneck. We profiled the full decisioning pipeline: feature retrieval, feature computation, model scoring and downstream decision logic. The biggest opportunity was feature generation at transaction time.</w:t>
      </w:r>
    </w:p>
    <w:p>
      <w:pPr>
        <w:pStyle w:val="Answer"/>
      </w:pPr>
      <w:r>
        <w:t>We therefore moved as much computation as possible out of the critical path. We pre-computed rolling aggregates, kept frequently used features close to the scoring service, simplified features where the incremental predictive value did not justify the latency cost, and only calculated the small transaction-specific component in real time. We also used caching and parallelisation where appropriate.</w:t>
      </w:r>
    </w:p>
    <w:p>
      <w:pPr>
        <w:pStyle w:val="Answer"/>
      </w:pPr>
      <w:r>
        <w:t>That combination brought the end-to-end decision time from roughly 100 milliseconds to below 20 milliseconds while keeping the model performance and controls within the agreed tolerances.</w:t>
      </w:r>
    </w:p>
    <w:p>
      <w:pPr>
        <w:pStyle w:val="Note"/>
      </w:pPr>
      <w:r>
        <w:rPr>
          <w:b/>
        </w:rPr>
        <w:t xml:space="preserve">Interview note: </w:t>
      </w:r>
      <w:r>
        <w:t>The strongest part of this answer is the systems thinking: profile the whole pipeline, identify the true bottleneck, then optimise the architecture rather than only the model code.</w:t>
      </w:r>
    </w:p>
    <w:p>
      <w:pPr>
        <w:pStyle w:val="Question"/>
      </w:pPr>
      <w:r>
        <w:t>3. If you pre-compute features to reduce latency, what trade-off do you introduce and how do you prevent the features becoming stale?</w:t>
      </w:r>
    </w:p>
    <w:p>
      <w:pPr>
        <w:pStyle w:val="Answer"/>
      </w:pPr>
      <w:r>
        <w:rPr>
          <w:b/>
        </w:rPr>
        <w:t>Best answer</w:t>
        <w:br/>
      </w:r>
      <w:r>
        <w:t>The main trade-off is latency versus freshness. A pre-computed stepping-window feature is very fast to serve, but it may be slightly stale between refreshes. A fully sliding-window feature is fresher because it incorporates the latest events, but it is more expensive to calculate in the real-time path.</w:t>
      </w:r>
    </w:p>
    <w:p>
      <w:pPr>
        <w:pStyle w:val="Answer"/>
      </w:pPr>
      <w:r>
        <w:t>We handled that by being selective. Features that did not need second-by-second freshness were pre-computed. For features where the latest transaction materially affected risk, we kept a small real-time component and combined it with the pre-computed aggregate.</w:t>
      </w:r>
    </w:p>
    <w:p>
      <w:pPr>
        <w:pStyle w:val="Answer"/>
      </w:pPr>
      <w:r>
        <w:t>We also monitored feature timestamps and freshness, defined tolerances, and had fallbacks if a feature was missing or older than expected. The design decision was therefore not 'pre-compute everything'; it was to use the minimum amount of real-time computation required to preserve predictive value.</w:t>
      </w:r>
    </w:p>
    <w:p>
      <w:pPr>
        <w:pStyle w:val="Note"/>
      </w:pPr>
      <w:r>
        <w:rPr>
          <w:b/>
        </w:rPr>
        <w:t xml:space="preserve">Interview note: </w:t>
      </w:r>
      <w:r>
        <w:t>Useful phrase: 'The trade-off is freshness versus latency.'</w:t>
      </w:r>
    </w:p>
    <w:p>
      <w:pPr>
        <w:pStyle w:val="Question"/>
      </w:pPr>
      <w:r>
        <w:t>4. How did you ensure the feature used in production was calculated exactly the same way as the feature used during model training?</w:t>
      </w:r>
    </w:p>
    <w:p>
      <w:pPr>
        <w:pStyle w:val="Answer"/>
      </w:pPr>
      <w:r>
        <w:rPr>
          <w:b/>
        </w:rPr>
        <w:t>Best answer</w:t>
        <w:br/>
      </w:r>
      <w:r>
        <w:t>We used a two-stage validation process to control training-serving skew.</w:t>
      </w:r>
    </w:p>
    <w:p>
      <w:pPr>
        <w:pStyle w:val="Answer"/>
      </w:pPr>
      <w:r>
        <w:t>First, during UAT, we selected a controlled set of records with known expected outputs and computed the features independently in the development and serving implementations. For those tests we expected a 100% match.</w:t>
      </w:r>
    </w:p>
    <w:p>
      <w:pPr>
        <w:pStyle w:val="Answer"/>
      </w:pPr>
      <w:r>
        <w:t>Second, once the service was running in the production environment, we carried out live probing. For roughly two weeks, we captured the feature values and decisions produced in real time, then recomputed them offline at the end of the day and compared the two paths.</w:t>
      </w:r>
    </w:p>
    <w:p>
      <w:pPr>
        <w:pStyle w:val="Answer"/>
      </w:pPr>
      <w:r>
        <w:t>That allowed us to detect differences caused not only by code, but also by production data timing, joins, defaults or infrastructure behaviour. We only considered the implementation stable once the online and offline results were consistently aligned.</w:t>
      </w:r>
    </w:p>
    <w:p>
      <w:pPr>
        <w:pStyle w:val="Note"/>
      </w:pPr>
      <w:r>
        <w:rPr>
          <w:b/>
        </w:rPr>
        <w:t xml:space="preserve">Interview note: </w:t>
      </w:r>
      <w:r>
        <w:t>This answer shows production discipline. Use the phrase 'training-serving skew' if the interviewer is technical.</w:t>
      </w:r>
    </w:p>
    <w:p>
      <w:pPr>
        <w:pStyle w:val="Question"/>
      </w:pPr>
      <w:r>
        <w:t>5. You have more than 30 models in production. How do you monitor them once they are live, and what triggers retraining or review?</w:t>
      </w:r>
    </w:p>
    <w:p>
      <w:pPr>
        <w:pStyle w:val="Answer"/>
      </w:pPr>
      <w:r>
        <w:rPr>
          <w:b/>
        </w:rPr>
        <w:t>Best answer</w:t>
        <w:br/>
      </w:r>
      <w:r>
        <w:t>The monitoring framework depends on the model and the frequency at which it runs. For real-time models we monitor the service and key model indicators daily; for batch models the cadence can be weekly or monthly depending on the use case.</w:t>
      </w:r>
    </w:p>
    <w:p>
      <w:pPr>
        <w:pStyle w:val="Answer"/>
      </w:pPr>
      <w:r>
        <w:t>We monitor several layers. First is operational health: data availability, feature freshness, latency, error rates and volumes. Second is model behaviour: score distributions, population or feature drift, calibration and changes in the proportion of cases falling into key risk bands. Third is effectiveness: detection power, false-positive rates, capture rates and the business outcome the model is supposed to improve.</w:t>
      </w:r>
    </w:p>
    <w:p>
      <w:pPr>
        <w:pStyle w:val="Answer"/>
      </w:pPr>
      <w:r>
        <w:t>We define thresholds in advance. A breach might trigger investigation, recalibration, a threshold change, retraining or, if the change is material, a formal model review. The important point is that retraining is not automatic just because a statistical drift metric moved; we look at whether the change is persistent, whether performance has deteriorated and whether the underlying population or business process has changed.</w:t>
      </w:r>
    </w:p>
    <w:p>
      <w:pPr>
        <w:pStyle w:val="Note"/>
      </w:pPr>
      <w:r>
        <w:rPr>
          <w:b/>
        </w:rPr>
        <w:t xml:space="preserve">Interview note: </w:t>
      </w:r>
      <w:r>
        <w:t>This sounds more senior if you separate operational health, model behaviour and business effectiveness.</w:t>
      </w:r>
    </w:p>
    <w:p>
      <w:pPr>
        <w:pStyle w:val="Question"/>
      </w:pPr>
      <w:r>
        <w:t>6. Who signs off a model change in your setup?</w:t>
      </w:r>
    </w:p>
    <w:p>
      <w:pPr>
        <w:pStyle w:val="Answer"/>
      </w:pPr>
      <w:r>
        <w:rPr>
          <w:b/>
        </w:rPr>
        <w:t>Best answer</w:t>
        <w:br/>
      </w:r>
      <w:r>
        <w:t>At a minimum, the model owner and the lead model developer are accountable for the change and its evidence. The exact governance path then depends on materiality.</w:t>
      </w:r>
    </w:p>
    <w:p>
      <w:pPr>
        <w:pStyle w:val="Answer"/>
      </w:pPr>
      <w:r>
        <w:t>A small non-material change can follow an agreed change process with documented testing and approval. A material change - for example a significant change to model methodology, features, thresholds or risk outcome - can trigger independent Model Risk review and the relevant formal governance before release.</w:t>
      </w:r>
    </w:p>
    <w:p>
      <w:pPr>
        <w:pStyle w:val="Answer"/>
      </w:pPr>
      <w:r>
        <w:t>My role is to make sure the evidence is clear: what changed, why it changed, the impact on performance and risk, the testing completed, and the rollback plan. That makes the sign-off a risk-based decision rather than just an engineering release.</w:t>
      </w:r>
    </w:p>
    <w:p>
      <w:pPr>
        <w:pStyle w:val="Note"/>
      </w:pPr>
      <w:r>
        <w:rPr>
          <w:b/>
        </w:rPr>
        <w:t xml:space="preserve">Interview note: </w:t>
      </w:r>
      <w:r>
        <w:t>Keep the distinction between ownership and independent challenge.</w:t>
      </w:r>
    </w:p>
    <w:p>
      <w:pPr>
        <w:pStyle w:val="Question"/>
      </w:pPr>
      <w:r>
        <w:t>7. How do you decide whether to build or buy an AI capability?</w:t>
      </w:r>
    </w:p>
    <w:p>
      <w:pPr>
        <w:pStyle w:val="Answer"/>
      </w:pPr>
      <w:r>
        <w:rPr>
          <w:b/>
        </w:rPr>
        <w:t>Best answer</w:t>
        <w:br/>
      </w:r>
      <w:r>
        <w:t>I normally make the decision across four dimensions: strategic differentiation, control, speed to market and total cost of ownership.</w:t>
      </w:r>
    </w:p>
    <w:p>
      <w:pPr>
        <w:pStyle w:val="Answer"/>
      </w:pPr>
      <w:r>
        <w:t>If the capability is genuinely differentiating - for example it uses proprietary data, embeds our own decisioning logic or is central to how we manage risk - I will usually favour building the core capability internally. That gives us more control over customisation, explainability, integration and the long-term roadmap.</w:t>
      </w:r>
    </w:p>
    <w:p>
      <w:pPr>
        <w:pStyle w:val="Answer"/>
      </w:pPr>
      <w:r>
        <w:t>If the problem is more commoditised and a vendor can provide a mature capability faster and at a lower total cost, buying can make more sense. But I would still look carefully at data access, model transparency, resilience, lock-in, regulatory requirements and the cost of integration and change over several years.</w:t>
      </w:r>
    </w:p>
    <w:p>
      <w:pPr>
        <w:pStyle w:val="Answer"/>
      </w:pPr>
      <w:r>
        <w:t>In practice, the best answer is often hybrid: buy commodity infrastructure or models where that accelerates delivery, but retain the parts that create strategic value or require strong internal control.</w:t>
      </w:r>
    </w:p>
    <w:p>
      <w:pPr>
        <w:pStyle w:val="Note"/>
      </w:pPr>
      <w:r>
        <w:rPr>
          <w:b/>
        </w:rPr>
        <w:t xml:space="preserve">Interview note: </w:t>
      </w:r>
      <w:r>
        <w:t>A senior answer is not 'build is better' or 'buy is cheaper'; it is a structured trade-off.</w:t>
      </w:r>
    </w:p>
    <w:p>
      <w:pPr>
        <w:pStyle w:val="Question"/>
      </w:pPr>
      <w:r>
        <w:t>8. Tell me about a difficult stakeholder situation and how you handled it.</w:t>
      </w:r>
    </w:p>
    <w:p>
      <w:pPr>
        <w:pStyle w:val="Answer"/>
      </w:pPr>
      <w:r>
        <w:rPr>
          <w:b/>
        </w:rPr>
        <w:t>Best answer</w:t>
        <w:br/>
      </w:r>
      <w:r>
        <w:t>On one recent AI programme, the core solution was ready to go live and could already deliver around 80% of the expected business value, but one of the key stakeholders wanted to delay deployment until the remaining 20% of functionality was complete.</w:t>
      </w:r>
    </w:p>
    <w:p>
      <w:pPr>
        <w:pStyle w:val="Answer"/>
      </w:pPr>
      <w:r>
        <w:t>I did not frame it as a disagreement between teams. I converted it into a decision with two clear options. Option one was to wait roughly three months and launch the full solution, which meant delaying all of the benefit. Option two was to launch the controlled 80% immediately, continue building the remaining functionality in parallel, and add it once it was ready.</w:t>
      </w:r>
    </w:p>
    <w:p>
      <w:pPr>
        <w:pStyle w:val="Answer"/>
      </w:pPr>
      <w:r>
        <w:t>For each option I laid out the value, operational impact, delivery risk and control implications, using data rather than opinion. That allowed the stakeholder to make an informed decision, and we agreed a phased rollout.</w:t>
      </w:r>
    </w:p>
    <w:p>
      <w:pPr>
        <w:pStyle w:val="Answer"/>
      </w:pPr>
      <w:r>
        <w:t>The lesson for me was that senior stakeholder management is often about making trade-offs explicit. My job is not to win an argument; it is to give the decision-maker enough evidence to choose between credible options.</w:t>
      </w:r>
    </w:p>
    <w:p>
      <w:pPr>
        <w:pStyle w:val="Note"/>
      </w:pPr>
      <w:r>
        <w:rPr>
          <w:b/>
        </w:rPr>
        <w:t xml:space="preserve">Interview note: </w:t>
      </w:r>
      <w:r>
        <w:t>Use STAR naturally: situation, tension, options/evidence, outcome, lesson.</w:t>
      </w:r>
    </w:p>
    <w:p>
      <w:pPr>
        <w:pStyle w:val="Question"/>
      </w:pPr>
      <w:r>
        <w:t>9. Why you for a markets AI or quantitative role?</w:t>
      </w:r>
    </w:p>
    <w:p>
      <w:pPr>
        <w:pStyle w:val="Answer"/>
      </w:pPr>
      <w:r>
        <w:rPr>
          <w:b/>
        </w:rPr>
        <w:t>Best answer</w:t>
        <w:br/>
      </w:r>
      <w:r>
        <w:t>I bring a combination that is relatively unusual: a quantitative foundation and a proven track record of taking AI into production at scale.</w:t>
      </w:r>
    </w:p>
    <w:p>
      <w:pPr>
        <w:pStyle w:val="Answer"/>
      </w:pPr>
      <w:r>
        <w:t>I spent several years in Quantitative Analytics, so I am comfortable with model design, statistical thinking, validation and working with quantitative stakeholders. Since then I have built and led an Applied AI capability covering data science, machine learning engineering, MLOps and production architecture. That includes more than 30 live models, real-time decisioning under demanding latency constraints, and delivery in a highly regulated environment.</w:t>
      </w:r>
    </w:p>
    <w:p>
      <w:pPr>
        <w:pStyle w:val="Answer"/>
      </w:pPr>
      <w:r>
        <w:t>So I am not coming at markets AI purely as a researcher, and I am not coming at it purely as a technology leader. I understand the modelling, but I also know how to build the data, engineering, platform and governance around a model so that it actually delivers value in production.</w:t>
      </w:r>
    </w:p>
    <w:p>
      <w:pPr>
        <w:pStyle w:val="Answer"/>
      </w:pPr>
      <w:r>
        <w:t>That is the experience I would bring to a markets organisation: strong quantitative foundations, production AI at scale, and the ability to lead the teams and architecture needed to turn models into real business outcomes.</w:t>
      </w:r>
    </w:p>
    <w:p>
      <w:pPr>
        <w:pStyle w:val="Note"/>
      </w:pPr>
      <w:r>
        <w:rPr>
          <w:b/>
        </w:rPr>
        <w:t xml:space="preserve">Interview note: </w:t>
      </w:r>
      <w:r>
        <w:t>Finish confidently and stop. This answer should land in 45–60 seconds.</w:t>
      </w:r>
    </w:p>
    <w:p>
      <w:pPr>
        <w:pStyle w:val="Question"/>
      </w:pPr>
      <w:r>
        <w:t>10. Follow-up: What exactly do you monitor when a model is live?</w:t>
      </w:r>
    </w:p>
    <w:p>
      <w:pPr>
        <w:pStyle w:val="Answer"/>
      </w:pPr>
      <w:r>
        <w:rPr>
          <w:b/>
        </w:rPr>
        <w:t>Best answer</w:t>
        <w:br/>
      </w:r>
      <w:r>
        <w:t>I think about live monitoring in three layers. Operationally: data quality, feature freshness, latency, failures and volumes. Statistically: feature and population drift, score distributions and calibration. And from a business or control perspective: detection power, false-positive rate, capture rate, alert volumes and the value or risk outcome the model is expected to deliver.</w:t>
      </w:r>
    </w:p>
    <w:p>
      <w:pPr>
        <w:pStyle w:val="Answer"/>
      </w:pPr>
      <w:r>
        <w:t>The key is to connect those layers. A model can be technically healthy but economically ineffective, or statistically stable while the business process around it has changed. So the monitoring framework needs to cover the whole production system, not just a drift statistic.</w:t>
      </w:r>
    </w:p>
    <w:p>
      <w:pPr>
        <w:pStyle w:val="Note"/>
      </w:pPr>
      <w:r>
        <w:rPr>
          <w:b/>
        </w:rPr>
        <w:t xml:space="preserve">Interview note: </w:t>
      </w:r>
      <w:r>
        <w:t>Good follow-up answer if the interviewer asks for specifics after question 5.</w:t>
      </w:r>
    </w:p>
    <w:p>
      <w:r>
        <w:br w:type="page"/>
      </w:r>
    </w:p>
    <w:p>
      <w:pPr>
        <w:pStyle w:val="Heading1"/>
      </w:pPr>
      <w:r>
        <w:t>30-Second Interview Reminders</w:t>
      </w:r>
    </w:p>
    <w:p>
      <w:r>
        <w:rPr>
          <w:b/>
        </w:rPr>
        <w:t xml:space="preserve">Lead with the answer: </w:t>
      </w:r>
      <w:r>
        <w:t>Give the headline first, then one example. Do not make the interviewer wait for the point.</w:t>
      </w:r>
    </w:p>
    <w:p>
      <w:r>
        <w:rPr>
          <w:b/>
        </w:rPr>
        <w:t xml:space="preserve">Use numbers: </w:t>
      </w:r>
      <w:r>
        <w:t>Where possible anchor the answer in scale: 80+ people, 30+ production models, sub-20ms decisioning, or a measurable business outcome.</w:t>
      </w:r>
    </w:p>
    <w:p>
      <w:r>
        <w:rPr>
          <w:b/>
        </w:rPr>
        <w:t xml:space="preserve">Show the trade-off: </w:t>
      </w:r>
      <w:r>
        <w:t>Senior answers explain the decision: accuracy vs latency, build vs buy, speed vs completeness, innovation vs governance.</w:t>
      </w:r>
    </w:p>
    <w:p>
      <w:r>
        <w:rPr>
          <w:b/>
        </w:rPr>
        <w:t xml:space="preserve">Separate model from system: </w:t>
      </w:r>
      <w:r>
        <w:t>For production AI, talk about data, features, serving, monitoring, resilience and governance - not only the algorithm.</w:t>
      </w:r>
    </w:p>
    <w:p>
      <w:r>
        <w:rPr>
          <w:b/>
        </w:rPr>
        <w:t xml:space="preserve">Stop cleanly: </w:t>
      </w:r>
      <w:r>
        <w:t>Once you have answered the question and landed the outcome, stop. Let the interviewer choose the next level of depth.</w:t>
      </w:r>
    </w:p>
    <w:p/>
    <w:p>
      <w:pPr>
        <w:pStyle w:val="Note"/>
      </w:pPr>
      <w:r>
        <w:rPr>
          <w:b/>
        </w:rPr>
        <w:t xml:space="preserve">Suggested practice: </w:t>
      </w:r>
      <w:r>
        <w:t>Answer each question aloud once without notes, then compare your answer with the model answer and repeat only the parts that were unclear or too long.</w:t>
      </w:r>
    </w:p>
    <w:p>
      <w:pPr>
        <w:pStyle w:val="Heading1"/>
      </w:pPr>
      <w:r>
        <w:t>Part II - Markets Applied AI Technical Project Preparation</w:t>
        <w:br w:type="page"/>
      </w:r>
    </w:p>
    <w:p>
      <w:pPr>
        <w:pStyle w:val="Heading2"/>
      </w:pPr>
      <w:r>
        <w:t>Quick interview introductions</w:t>
      </w:r>
    </w:p>
    <w:p>
      <w:pPr/>
      <w:r>
        <w:t>Use these as the first 30–60 seconds when an interviewer asks you to describe a project. They deliberately stay at project level: business problem, your contribution, modelling approach, validation and why it mattered. Only go into the detailed sections that follow when the interviewer probes.</w:t>
      </w:r>
    </w:p>
    <w:p>
      <w:pPr>
        <w:pStyle w:val="Heading2"/>
      </w:pPr>
      <w:r>
        <w:t>A. Short-horizon FX prediction</w:t>
      </w:r>
    </w:p>
    <w:p>
      <w:pPr>
        <w:spacing w:before="0" w:after="40" w:line="240" w:lineRule="auto"/>
      </w:pPr>
      <w:r>
        <w:rPr>
          <w:b/>
        </w:rPr>
        <w:t xml:space="preserve">Project in one sentence. </w:t>
      </w:r>
      <w:r>
        <w:t>A three-person research project testing whether proprietary client flow, combined with public FX microstructure, contained incremental information about near-term mid-price movements.</w:t>
      </w:r>
    </w:p>
    <w:p>
      <w:pPr>
        <w:spacing w:before="0" w:after="40" w:line="240" w:lineRule="auto"/>
      </w:pPr>
      <w:r>
        <w:rPr>
          <w:b/>
        </w:rPr>
        <w:t xml:space="preserve">My role. </w:t>
      </w:r>
      <w:r>
        <w:t>I would position myself as a hands-on researcher across feature engineering, model development, hyperparameter tuning, stacking and temporal out-of-sample validation, while being precise about which implementation details are verified versus reconstructed for interview practice.</w:t>
      </w:r>
    </w:p>
    <w:p>
      <w:pPr>
        <w:spacing w:before="0" w:after="40" w:line="240" w:lineRule="auto"/>
      </w:pPr>
      <w:r>
        <w:rPr>
          <w:b/>
        </w:rPr>
        <w:t xml:space="preserve">Technical approach. </w:t>
      </w:r>
      <w:r>
        <w:t>For the training reconstruction, use EUR/USD as the primary pair because its deep liquidity, tight spreads and rich event data make it a demanding test of genuine short-horizon edge. Build point-in-time signed-flow, order-book, volatility and cross-venue features; predict a fixed forward mid return; start with ElasticNet, challenge with nonlinear learners, and combine only genuinely out-of-sample predictions.</w:t>
      </w:r>
    </w:p>
    <w:p>
      <w:pPr>
        <w:spacing w:before="0" w:after="80" w:line="240" w:lineRule="auto"/>
      </w:pPr>
      <w:r>
        <w:rPr>
          <w:b/>
        </w:rPr>
        <w:t xml:space="preserve">What I would emphasise. </w:t>
      </w:r>
      <w:r>
        <w:t>The interesting result is not a high headline accuracy. It is a small, stable incremental signal from proprietary flow that survives public-market controls, timestamp correction, latency stress and realistic execution costs.</w:t>
      </w:r>
    </w:p>
    <w:p>
      <w:pPr>
        <w:shd w:fill="F2F2F2"/>
        <w:spacing w:before="40" w:after="160" w:line="240" w:lineRule="auto"/>
      </w:pPr>
      <w:r>
        <w:rPr>
          <w:b/>
        </w:rPr>
        <w:t xml:space="preserve">Interview opening: </w:t>
      </w:r>
      <w:r>
        <w:t>“I was one of three researchers investigating whether proprietary client flow added information about short-horizon FX price moves beyond what was already visible in public market data. The difficult part was point-in-time reconstruction because client events and market data were asynchronous. We engineered flow and microstructure signals, used regularised and complementary models, and validated everything chronologically. The key test was whether the proprietary signal was incremental and whether it survived latency, spread and execution costs rather than just looking statistically predictive.”</w:t>
      </w:r>
    </w:p>
    <w:p>
      <w:pPr>
        <w:pStyle w:val="Heading2"/>
      </w:pPr>
      <w:r>
        <w:t>B. Signal research and validation</w:t>
      </w:r>
    </w:p>
    <w:p>
      <w:pPr>
        <w:spacing w:before="0" w:after="40" w:line="240" w:lineRule="auto"/>
      </w:pPr>
      <w:r>
        <w:rPr>
          <w:b/>
        </w:rPr>
        <w:t xml:space="preserve">Project in one sentence. </w:t>
      </w:r>
      <w:r>
        <w:t>The research-methodology layer behind the FX work: turning plausible market hypotheses into reproducible evidence without leakage, overfitting or post-hoc selection.</w:t>
      </w:r>
    </w:p>
    <w:p>
      <w:pPr>
        <w:spacing w:before="0" w:after="40" w:line="240" w:lineRule="auto"/>
      </w:pPr>
      <w:r>
        <w:rPr>
          <w:b/>
        </w:rPr>
        <w:t xml:space="preserve">My role. </w:t>
      </w:r>
      <w:r>
        <w:t>The emphasis is on the research decisions I personally influenced: feature design, regularisation, temporal validation, hyperparameter search, construction of out-of-sample stacking inputs, ablation and challenge of suspicious results.</w:t>
      </w:r>
    </w:p>
    <w:p>
      <w:pPr>
        <w:spacing w:before="0" w:after="40" w:line="240" w:lineRule="auto"/>
      </w:pPr>
      <w:r>
        <w:rPr>
          <w:b/>
        </w:rPr>
        <w:t xml:space="preserve">Technical approach. </w:t>
      </w:r>
      <w:r>
        <w:t>Start from explicit hypotheses for client flow, order-book imbalance and cross-venue pricing. Fit all preprocessing inside each training fold, tune only on earlier periods, purge overlapping labels and build the stacker only from forward predictions. Keep an untouched final period and stress timestamp alignment, latency and costs.</w:t>
      </w:r>
    </w:p>
    <w:p>
      <w:pPr>
        <w:spacing w:before="0" w:after="80" w:line="240" w:lineRule="auto"/>
      </w:pPr>
      <w:r>
        <w:rPr>
          <w:b/>
        </w:rPr>
        <w:t xml:space="preserve">What I would emphasise. </w:t>
      </w:r>
      <w:r>
        <w:t>A strong story includes a failure: a cross-venue feature initially looks extremely predictive, then collapses after receive-time correction. The right conclusion is that the large result was a stale-feed artefact, not that the model should be defended.</w:t>
      </w:r>
    </w:p>
    <w:p>
      <w:pPr>
        <w:shd w:fill="F2F2F2"/>
        <w:spacing w:before="40" w:after="160" w:line="240" w:lineRule="auto"/>
      </w:pPr>
      <w:r>
        <w:rPr>
          <w:b/>
        </w:rPr>
        <w:t xml:space="preserve">Interview opening: </w:t>
      </w:r>
      <w:r>
        <w:t>“The signal research was really about disciplined experimentation. We had many correlated features and a low signal-to-noise target, so the challenge was not just finding a model that fitted well; it was proving the result was real. I used regularisation, nested temporal validation and true out-of-sample stacking, and I treated suspicious jumps in performance as a data or leakage problem to investigate first. The evidence I cared about was stable incremental performance across future periods and realistic implementation assumptions.”</w:t>
      </w:r>
    </w:p>
    <w:p>
      <w:pPr>
        <w:pStyle w:val="Heading2"/>
      </w:pPr>
      <w:r>
        <w:t>C. Electronic RFQ pricing / chance-to-fill</w:t>
      </w:r>
    </w:p>
    <w:p>
      <w:pPr>
        <w:spacing w:before="0" w:after="40" w:line="240" w:lineRule="auto"/>
      </w:pPr>
      <w:r>
        <w:rPr>
          <w:b/>
        </w:rPr>
        <w:t xml:space="preserve">Project in one sentence. </w:t>
      </w:r>
      <w:r>
        <w:t>A behavioural modelling problem estimating the probability that a client would trade with the bank at a proposed RFQ quote, conditional on client, product and current market context.</w:t>
      </w:r>
    </w:p>
    <w:p>
      <w:pPr>
        <w:spacing w:before="0" w:after="40" w:line="240" w:lineRule="auto"/>
      </w:pPr>
      <w:r>
        <w:rPr>
          <w:b/>
        </w:rPr>
        <w:t xml:space="preserve">My role. </w:t>
      </w:r>
      <w:r>
        <w:t>I would describe hands-on ownership of chance-to-fill modelling and deployment, while keeping three layers separate: fair-value pricing, client response probability and the final quoting policy.</w:t>
      </w:r>
    </w:p>
    <w:p>
      <w:pPr>
        <w:spacing w:before="0" w:after="40" w:line="240" w:lineRule="auto"/>
      </w:pPr>
      <w:r>
        <w:rPr>
          <w:b/>
        </w:rPr>
        <w:t xml:space="preserve">Technical approach. </w:t>
      </w:r>
      <w:r>
        <w:t>Construct one decision-state record per RFQ with client, instrument, size, quote concession, liquidity, volatility, known competition and pre-quote inventory. Use a calibrated logistic model for transparent price sensitivity, shrink sparse client/segment histories with a Bayesian update, and score a bounded candidate quote grid rather than extrapolating far outside observed pricing.</w:t>
      </w:r>
    </w:p>
    <w:p>
      <w:pPr>
        <w:spacing w:before="0" w:after="80" w:line="240" w:lineRule="auto"/>
      </w:pPr>
      <w:r>
        <w:rPr>
          <w:b/>
        </w:rPr>
        <w:t xml:space="preserve">What I would emphasise. </w:t>
      </w:r>
      <w:r>
        <w:t>The model is useful only if probabilities are calibrated and economically interpretable. A higher chance of winning is not automatically better because a tighter quote can give away spread, attract adverse flow or worsen inventory.</w:t>
      </w:r>
    </w:p>
    <w:p>
      <w:pPr>
        <w:shd w:fill="F2F2F2"/>
        <w:spacing w:before="40" w:after="160" w:line="240" w:lineRule="auto"/>
      </w:pPr>
      <w:r>
        <w:rPr>
          <w:b/>
        </w:rPr>
        <w:t xml:space="preserve">Interview opening: </w:t>
      </w:r>
      <w:r>
        <w:t>“On RFQs, I was not trying to replace the bond or swap valuation model. Fair value came from the desk pricing framework. The model estimated how likely the client was to trade with us at a candidate quote given the client, product and market state. We used transparent probability models, calibration and Bayesian shrinkage for sparse histories, then passed those probabilities into a separate economic decision layer. The key point is that the quote most likely to win is not necessarily the quote the desk should choose.”</w:t>
      </w:r>
    </w:p>
    <w:p>
      <w:pPr>
        <w:pStyle w:val="Heading2"/>
      </w:pPr>
      <w:r>
        <w:t>D. Market-making economics</w:t>
      </w:r>
    </w:p>
    <w:p>
      <w:pPr>
        <w:spacing w:before="0" w:after="40" w:line="240" w:lineRule="auto"/>
      </w:pPr>
      <w:r>
        <w:rPr>
          <w:b/>
        </w:rPr>
        <w:t xml:space="preserve">Project in one sentence. </w:t>
      </w:r>
      <w:r>
        <w:t>The economic decision layer connecting RFQ prediction to what the desk actually cares about: expected contribution after spread, hedge cost, adverse selection, inventory and risk.</w:t>
      </w:r>
    </w:p>
    <w:p>
      <w:pPr>
        <w:spacing w:before="0" w:after="40" w:line="240" w:lineRule="auto"/>
      </w:pPr>
      <w:r>
        <w:rPr>
          <w:b/>
        </w:rPr>
        <w:t xml:space="preserve">My role. </w:t>
      </w:r>
      <w:r>
        <w:t>My role is framed as translating statistical model outputs into commercial operating points and validating them against win rate, spread capture, markouts and P&amp;L/revenue measures.</w:t>
      </w:r>
    </w:p>
    <w:p>
      <w:pPr>
        <w:spacing w:before="0" w:after="40" w:line="240" w:lineRule="auto"/>
      </w:pPr>
      <w:r>
        <w:rPr>
          <w:b/>
        </w:rPr>
        <w:t xml:space="preserve">Technical approach. </w:t>
      </w:r>
      <w:r>
        <w:t>For every candidate quote, combine calibrated p(win) with expected contribution conditional on winning. Translate different products into monetary or risk-consistent units, use markouts as adverse-selection diagnostics, incorporate inventory state, and compare policies at matched populations or fixed hit rates rather than cherry-picking easy RFQs.</w:t>
      </w:r>
    </w:p>
    <w:p>
      <w:pPr>
        <w:spacing w:before="0" w:after="80" w:line="240" w:lineRule="auto"/>
      </w:pPr>
      <w:r>
        <w:rPr>
          <w:b/>
        </w:rPr>
        <w:t xml:space="preserve">What I would emphasise. </w:t>
      </w:r>
      <w:r>
        <w:t>The best result is often not “higher hit rate.” A credible result can hold hit rate roughly flat while improving net contribution, reducing adverse markouts and lowering unwanted inventory or external hedge demand.</w:t>
      </w:r>
    </w:p>
    <w:p>
      <w:pPr>
        <w:shd w:fill="F2F2F2"/>
        <w:spacing w:before="40" w:after="160" w:line="240" w:lineRule="auto"/>
      </w:pPr>
      <w:r>
        <w:rPr>
          <w:b/>
        </w:rPr>
        <w:t xml:space="preserve">Interview opening: </w:t>
      </w:r>
      <w:r>
        <w:t>“The key commercial lesson was that probability was only an input. A tighter quote can win more RFQs but earn less per trade and may select more adverse flow. So I connected the response model to expected contribution after hedge costs, fees, markouts and inventory effects, and compared economics at comparable hit rates. That gave the desk a decision framework rather than another classification metric.”</w:t>
      </w:r>
    </w:p>
    <w:p>
      <w:pPr>
        <w:pStyle w:val="Heading2"/>
      </w:pPr>
      <w:r>
        <w:t>E. Broader Markets modelling</w:t>
      </w:r>
    </w:p>
    <w:p>
      <w:pPr>
        <w:spacing w:before="0" w:after="40" w:line="240" w:lineRule="auto"/>
      </w:pPr>
      <w:r>
        <w:rPr>
          <w:b/>
        </w:rPr>
        <w:t xml:space="preserve">Project in one sentence. </w:t>
      </w:r>
      <w:r>
        <w:t>A portfolio of separate quantitative problems covering market risk, revaluation, missing risks, time-series forecasting, simulation and liquidity/capacity rather than one single all-purpose model.</w:t>
      </w:r>
    </w:p>
    <w:p>
      <w:pPr>
        <w:spacing w:before="0" w:after="40" w:line="240" w:lineRule="auto"/>
      </w:pPr>
      <w:r>
        <w:rPr>
          <w:b/>
        </w:rPr>
        <w:t xml:space="preserve">My role. </w:t>
      </w:r>
      <w:r>
        <w:t>I would choose one or two concrete examples depending on the interviewer, explain my personal contribution and use the remaining topics to demonstrate breadth rather than pretending they all belonged to the same implementation.</w:t>
      </w:r>
    </w:p>
    <w:p>
      <w:pPr>
        <w:spacing w:before="0" w:after="40" w:line="240" w:lineRule="auto"/>
      </w:pPr>
      <w:r>
        <w:rPr>
          <w:b/>
        </w:rPr>
        <w:t xml:space="preserve">Technical approach. </w:t>
      </w:r>
      <w:r>
        <w:t>For market risk, compare full revaluation with sensitivity approximations under historical or simulated shocks and analyse RNIV where the core factor representation misses material risks. For forecasting, separate conditional mean models such as ARMA from conditional variance models such as GARCH. Use Monte Carlo differently for pricing and physical risk, and treat capacity as a size-dependent execution problem rather than scaling small-backtest returns linearly.</w:t>
      </w:r>
    </w:p>
    <w:p>
      <w:pPr>
        <w:spacing w:before="0" w:after="80" w:line="240" w:lineRule="auto"/>
      </w:pPr>
      <w:r>
        <w:rPr>
          <w:b/>
        </w:rPr>
        <w:t xml:space="preserve">What I would emphasise. </w:t>
      </w:r>
      <w:r>
        <w:t>The senior-level point is model selection by purpose: valuation, risk measurement and forecasting answer different questions and use different probability measures, diagnostics and approximations.</w:t>
      </w:r>
    </w:p>
    <w:p>
      <w:pPr>
        <w:shd w:fill="F2F2F2"/>
        <w:spacing w:before="40" w:after="160" w:line="240" w:lineRule="auto"/>
      </w:pPr>
      <w:r>
        <w:rPr>
          <w:b/>
        </w:rPr>
        <w:t xml:space="preserve">Interview opening: </w:t>
      </w:r>
      <w:r>
        <w:t>“My broader Markets work covered several distinct quantitative problems rather than one model. On risk, the question was how the portfolio revalued under market-factor shocks and where simple sensitivities stopped being reliable. On forecasting, I separated mean dynamics from volatility dynamics. Monte Carlo was a numerical tool whose assumptions depended on whether the problem was pricing or real-world risk, and liquidity work asked how execution economics deteriorated as size increased. I would go deepest on whichever example is most relevant to the role.”</w:t>
      </w:r>
    </w:p>
    <w:p>
      <w:r>
        <w:br w:type="page"/>
      </w:r>
    </w:p>
    <w:p>
      <w:pPr>
        <w:pStyle w:val="Heading1"/>
        <w:keepNext/>
        <w:spacing w:before="240" w:after="100"/>
      </w:pPr>
      <w:r>
        <w:rPr>
          <w:rFonts w:ascii="Arial" w:hAnsi="Arial"/>
          <w:b/>
          <w:sz w:val="30"/>
        </w:rPr>
        <w:t>1. Short-horizon FX prediction</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CV CLAIM</w:t>
            </w:r>
          </w:p>
          <w:p>
            <w:pPr>
              <w:spacing w:after="0"/>
            </w:pPr>
            <w:r>
              <w:rPr>
                <w:rFonts w:ascii="Arial" w:hAnsi="Arial"/>
                <w:sz w:val="18"/>
              </w:rPr>
              <w:t>One of three researchers who developed a short-horizon FX forecasting model predicting future mid-price moves using proprietary client-flow and public market-microstructure signals.</w:t>
            </w:r>
          </w:p>
        </w:tc>
      </w:tr>
    </w:tbl>
    <w:p>
      <w:pPr>
        <w:spacing w:after="0"/>
      </w:pPr>
    </w:p>
    <w:p>
      <w:pPr>
        <w:pStyle w:val="Heading2"/>
        <w:keepNext/>
        <w:spacing w:before="160" w:after="100"/>
      </w:pPr>
      <w:r>
        <w:rPr>
          <w:rFonts w:ascii="Arial" w:hAnsi="Arial"/>
          <w:b/>
          <w:sz w:val="25"/>
        </w:rPr>
        <w:t>1.1 Hypothetical design at a glance</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18"/>
        <w:gridCol w:w="5018"/>
      </w:tblGrid>
      <w:tr>
        <w:trPr>
          <w:tblHeader w:val="true"/>
        </w:trPr>
        <w:tc>
          <w:tcPr>
            <w:tcW w:type="dxa" w:w="2268"/>
            <w:shd w:fill="D9E1F2"/>
            <w:tcMar>
              <w:top w:w="80" w:type="dxa"/>
              <w:start w:w="80" w:type="dxa"/>
              <w:bottom w:w="80" w:type="dxa"/>
              <w:end w:w="80" w:type="dxa"/>
            </w:tcMar>
            <w:vAlign w:val="center"/>
          </w:tcPr>
          <w:p>
            <w:pPr>
              <w:jc w:val="left"/>
            </w:pPr>
            <w:r>
              <w:rPr>
                <w:rFonts w:ascii="Arial" w:hAnsi="Arial"/>
                <w:b/>
                <w:sz w:val="16"/>
              </w:rPr>
              <w:t>Component</w:t>
            </w:r>
          </w:p>
        </w:tc>
        <w:tc>
          <w:tcPr>
            <w:tcW w:type="dxa" w:w="7483"/>
            <w:shd w:fill="D9E1F2"/>
            <w:tcMar>
              <w:top w:w="80" w:type="dxa"/>
              <w:start w:w="80" w:type="dxa"/>
              <w:bottom w:w="80" w:type="dxa"/>
              <w:end w:w="80" w:type="dxa"/>
            </w:tcMar>
            <w:vAlign w:val="center"/>
          </w:tcPr>
          <w:p>
            <w:pPr>
              <w:jc w:val="left"/>
            </w:pPr>
            <w:r>
              <w:rPr>
                <w:rFonts w:ascii="Arial" w:hAnsi="Arial"/>
                <w:b/>
                <w:sz w:val="16"/>
              </w:rPr>
              <w:t>Illustrative design</w:t>
            </w:r>
          </w:p>
        </w:tc>
      </w:tr>
      <w:tr>
        <w:tc>
          <w:tcPr>
            <w:tcW w:type="dxa" w:w="2268"/>
            <w:tcMar>
              <w:top w:w="75" w:type="dxa"/>
              <w:start w:w="80" w:type="dxa"/>
              <w:bottom w:w="75" w:type="dxa"/>
              <w:end w:w="80" w:type="dxa"/>
            </w:tcMar>
            <w:vAlign w:val="top"/>
          </w:tcPr>
          <w:p>
            <w:pPr>
              <w:spacing w:after="0"/>
            </w:pPr>
            <w:r>
              <w:rPr>
                <w:rFonts w:ascii="Arial" w:hAnsi="Arial"/>
                <w:b/>
                <w:sz w:val="16"/>
              </w:rPr>
              <w:t>Instrument</w:t>
            </w:r>
          </w:p>
        </w:tc>
        <w:tc>
          <w:tcPr>
            <w:tcW w:type="dxa" w:w="7483"/>
            <w:tcMar>
              <w:top w:w="75" w:type="dxa"/>
              <w:start w:w="80" w:type="dxa"/>
              <w:bottom w:w="75" w:type="dxa"/>
              <w:end w:w="80" w:type="dxa"/>
            </w:tcMar>
            <w:vAlign w:val="top"/>
          </w:tcPr>
          <w:p>
            <w:pPr>
              <w:spacing w:after="0"/>
            </w:pPr>
            <w:r>
              <w:rPr>
                <w:rFonts w:ascii="Arial" w:hAnsi="Arial"/>
                <w:b w:val="0"/>
                <w:sz w:val="16"/>
              </w:rPr>
              <w:t>EUR/USD primary research pair; GBP/USD as a robustness / transfer check.</w:t>
            </w:r>
          </w:p>
        </w:tc>
      </w:tr>
      <w:tr>
        <w:tc>
          <w:tcPr>
            <w:tcW w:type="dxa" w:w="2268"/>
            <w:tcMar>
              <w:top w:w="75" w:type="dxa"/>
              <w:start w:w="80" w:type="dxa"/>
              <w:bottom w:w="75" w:type="dxa"/>
              <w:end w:w="80" w:type="dxa"/>
            </w:tcMar>
            <w:vAlign w:val="top"/>
          </w:tcPr>
          <w:p>
            <w:pPr>
              <w:spacing w:after="0"/>
            </w:pPr>
            <w:r>
              <w:rPr>
                <w:rFonts w:ascii="Arial" w:hAnsi="Arial"/>
                <w:b/>
                <w:sz w:val="16"/>
              </w:rPr>
              <w:t>Decision clock</w:t>
            </w:r>
          </w:p>
        </w:tc>
        <w:tc>
          <w:tcPr>
            <w:tcW w:type="dxa" w:w="7483"/>
            <w:tcMar>
              <w:top w:w="75" w:type="dxa"/>
              <w:start w:w="80" w:type="dxa"/>
              <w:bottom w:w="75" w:type="dxa"/>
              <w:end w:w="80" w:type="dxa"/>
            </w:tcMar>
            <w:vAlign w:val="top"/>
          </w:tcPr>
          <w:p>
            <w:pPr>
              <w:spacing w:after="0"/>
            </w:pPr>
            <w:r>
              <w:rPr>
                <w:rFonts w:ascii="Arial" w:hAnsi="Arial"/>
                <w:b w:val="0"/>
                <w:sz w:val="16"/>
              </w:rPr>
              <w:t>One feature vector every 1 second during liquid trading hours.</w:t>
            </w:r>
          </w:p>
        </w:tc>
      </w:tr>
      <w:tr>
        <w:tc>
          <w:tcPr>
            <w:tcW w:type="dxa" w:w="2268"/>
            <w:tcMar>
              <w:top w:w="75" w:type="dxa"/>
              <w:start w:w="80" w:type="dxa"/>
              <w:bottom w:w="75" w:type="dxa"/>
              <w:end w:w="80" w:type="dxa"/>
            </w:tcMar>
            <w:vAlign w:val="top"/>
          </w:tcPr>
          <w:p>
            <w:pPr>
              <w:spacing w:after="0"/>
            </w:pPr>
            <w:r>
              <w:rPr>
                <w:rFonts w:ascii="Arial" w:hAnsi="Arial"/>
                <w:b/>
                <w:sz w:val="16"/>
              </w:rPr>
              <w:t>Primary target</w:t>
            </w:r>
          </w:p>
        </w:tc>
        <w:tc>
          <w:tcPr>
            <w:tcW w:type="dxa" w:w="7483"/>
            <w:tcMar>
              <w:top w:w="75" w:type="dxa"/>
              <w:start w:w="80" w:type="dxa"/>
              <w:bottom w:w="75" w:type="dxa"/>
              <w:end w:w="80" w:type="dxa"/>
            </w:tcMar>
            <w:vAlign w:val="top"/>
          </w:tcPr>
          <w:p>
            <w:pPr>
              <w:spacing w:after="0"/>
            </w:pPr>
            <w:r>
              <w:rPr>
                <w:rFonts w:ascii="Arial" w:hAnsi="Arial"/>
                <w:b w:val="0"/>
                <w:sz w:val="16"/>
              </w:rPr>
              <w:t>30-second forward mid-price log return in basis points.</w:t>
            </w:r>
          </w:p>
        </w:tc>
      </w:tr>
      <w:tr>
        <w:tc>
          <w:tcPr>
            <w:tcW w:type="dxa" w:w="2268"/>
            <w:tcMar>
              <w:top w:w="75" w:type="dxa"/>
              <w:start w:w="80" w:type="dxa"/>
              <w:bottom w:w="75" w:type="dxa"/>
              <w:end w:w="80" w:type="dxa"/>
            </w:tcMar>
            <w:vAlign w:val="top"/>
          </w:tcPr>
          <w:p>
            <w:pPr>
              <w:spacing w:after="0"/>
            </w:pPr>
            <w:r>
              <w:rPr>
                <w:rFonts w:ascii="Arial" w:hAnsi="Arial"/>
                <w:b/>
                <w:sz w:val="16"/>
              </w:rPr>
              <w:t>Secondary horizons</w:t>
            </w:r>
          </w:p>
        </w:tc>
        <w:tc>
          <w:tcPr>
            <w:tcW w:type="dxa" w:w="7483"/>
            <w:tcMar>
              <w:top w:w="75" w:type="dxa"/>
              <w:start w:w="80" w:type="dxa"/>
              <w:bottom w:w="75" w:type="dxa"/>
              <w:end w:w="80" w:type="dxa"/>
            </w:tcMar>
            <w:vAlign w:val="top"/>
          </w:tcPr>
          <w:p>
            <w:pPr>
              <w:spacing w:after="0"/>
            </w:pPr>
            <w:r>
              <w:rPr>
                <w:rFonts w:ascii="Arial" w:hAnsi="Arial"/>
                <w:b w:val="0"/>
                <w:sz w:val="16"/>
              </w:rPr>
              <w:t>5s, 10s, 60s and 120s used for pre-declared decay analysis, not post-hoc horizon selection.</w:t>
            </w:r>
          </w:p>
        </w:tc>
      </w:tr>
      <w:tr>
        <w:tc>
          <w:tcPr>
            <w:tcW w:type="dxa" w:w="2268"/>
            <w:tcMar>
              <w:top w:w="75" w:type="dxa"/>
              <w:start w:w="80" w:type="dxa"/>
              <w:bottom w:w="75" w:type="dxa"/>
              <w:end w:w="80" w:type="dxa"/>
            </w:tcMar>
            <w:vAlign w:val="top"/>
          </w:tcPr>
          <w:p>
            <w:pPr>
              <w:spacing w:after="0"/>
            </w:pPr>
            <w:r>
              <w:rPr>
                <w:rFonts w:ascii="Arial" w:hAnsi="Arial"/>
                <w:b/>
                <w:sz w:val="16"/>
              </w:rPr>
              <w:t>Proprietary data</w:t>
            </w:r>
          </w:p>
        </w:tc>
        <w:tc>
          <w:tcPr>
            <w:tcW w:type="dxa" w:w="7483"/>
            <w:tcMar>
              <w:top w:w="75" w:type="dxa"/>
              <w:start w:w="80" w:type="dxa"/>
              <w:bottom w:w="75" w:type="dxa"/>
              <w:end w:w="80" w:type="dxa"/>
            </w:tcMar>
            <w:vAlign w:val="top"/>
          </w:tcPr>
          <w:p>
            <w:pPr>
              <w:spacing w:after="0"/>
            </w:pPr>
            <w:r>
              <w:rPr>
                <w:rFonts w:ascii="Arial" w:hAnsi="Arial"/>
                <w:b w:val="0"/>
                <w:sz w:val="16"/>
              </w:rPr>
              <w:t>Signed client flow, client segment, amount, trade/request status and actual availability timestamp.</w:t>
            </w:r>
          </w:p>
        </w:tc>
      </w:tr>
      <w:tr>
        <w:tc>
          <w:tcPr>
            <w:tcW w:type="dxa" w:w="2268"/>
            <w:tcMar>
              <w:top w:w="75" w:type="dxa"/>
              <w:start w:w="80" w:type="dxa"/>
              <w:bottom w:w="75" w:type="dxa"/>
              <w:end w:w="80" w:type="dxa"/>
            </w:tcMar>
            <w:vAlign w:val="top"/>
          </w:tcPr>
          <w:p>
            <w:pPr>
              <w:spacing w:after="0"/>
            </w:pPr>
            <w:r>
              <w:rPr>
                <w:rFonts w:ascii="Arial" w:hAnsi="Arial"/>
                <w:b/>
                <w:sz w:val="16"/>
              </w:rPr>
              <w:t>Public market data</w:t>
            </w:r>
          </w:p>
        </w:tc>
        <w:tc>
          <w:tcPr>
            <w:tcW w:type="dxa" w:w="7483"/>
            <w:tcMar>
              <w:top w:w="75" w:type="dxa"/>
              <w:start w:w="80" w:type="dxa"/>
              <w:bottom w:w="75" w:type="dxa"/>
              <w:end w:w="80" w:type="dxa"/>
            </w:tcMar>
            <w:vAlign w:val="top"/>
          </w:tcPr>
          <w:p>
            <w:pPr>
              <w:spacing w:after="0"/>
            </w:pPr>
            <w:r>
              <w:rPr>
                <w:rFonts w:ascii="Arial" w:hAnsi="Arial"/>
                <w:b w:val="0"/>
                <w:sz w:val="16"/>
              </w:rPr>
              <w:t>Top-of-book and depth, quote/trade updates, spread, realised volatility, order-book imbalance, microprice and cross-venue prices.</w:t>
            </w:r>
          </w:p>
        </w:tc>
      </w:tr>
      <w:tr>
        <w:tc>
          <w:tcPr>
            <w:tcW w:type="dxa" w:w="2268"/>
            <w:tcMar>
              <w:top w:w="75" w:type="dxa"/>
              <w:start w:w="80" w:type="dxa"/>
              <w:bottom w:w="75" w:type="dxa"/>
              <w:end w:w="80" w:type="dxa"/>
            </w:tcMar>
            <w:vAlign w:val="top"/>
          </w:tcPr>
          <w:p>
            <w:pPr>
              <w:spacing w:after="0"/>
            </w:pPr>
            <w:r>
              <w:rPr>
                <w:rFonts w:ascii="Arial" w:hAnsi="Arial"/>
                <w:b/>
                <w:sz w:val="16"/>
              </w:rPr>
              <w:t>Models</w:t>
            </w:r>
          </w:p>
        </w:tc>
        <w:tc>
          <w:tcPr>
            <w:tcW w:type="dxa" w:w="7483"/>
            <w:tcMar>
              <w:top w:w="75" w:type="dxa"/>
              <w:start w:w="80" w:type="dxa"/>
              <w:bottom w:w="75" w:type="dxa"/>
              <w:end w:w="80" w:type="dxa"/>
            </w:tcMar>
            <w:vAlign w:val="top"/>
          </w:tcPr>
          <w:p>
            <w:pPr>
              <w:spacing w:after="0"/>
            </w:pPr>
            <w:r>
              <w:rPr>
                <w:rFonts w:ascii="Arial" w:hAnsi="Arial"/>
                <w:b w:val="0"/>
                <w:sz w:val="16"/>
              </w:rPr>
              <w:t>Zero-return / momentum baselines; ElasticNet; gradient-boosted trees; simple out-of-sample stack.</w:t>
            </w:r>
          </w:p>
        </w:tc>
      </w:tr>
      <w:tr>
        <w:tc>
          <w:tcPr>
            <w:tcW w:type="dxa" w:w="2268"/>
            <w:tcMar>
              <w:top w:w="75" w:type="dxa"/>
              <w:start w:w="80" w:type="dxa"/>
              <w:bottom w:w="75" w:type="dxa"/>
              <w:end w:w="80" w:type="dxa"/>
            </w:tcMar>
            <w:vAlign w:val="top"/>
          </w:tcPr>
          <w:p>
            <w:pPr>
              <w:spacing w:after="0"/>
            </w:pPr>
            <w:r>
              <w:rPr>
                <w:rFonts w:ascii="Arial" w:hAnsi="Arial"/>
                <w:b/>
                <w:sz w:val="16"/>
              </w:rPr>
              <w:t>Validation</w:t>
            </w:r>
          </w:p>
        </w:tc>
        <w:tc>
          <w:tcPr>
            <w:tcW w:type="dxa" w:w="7483"/>
            <w:tcMar>
              <w:top w:w="75" w:type="dxa"/>
              <w:start w:w="80" w:type="dxa"/>
              <w:bottom w:w="75" w:type="dxa"/>
              <w:end w:w="80" w:type="dxa"/>
            </w:tcMar>
            <w:vAlign w:val="top"/>
          </w:tcPr>
          <w:p>
            <w:pPr>
              <w:spacing w:after="0"/>
            </w:pPr>
            <w:r>
              <w:rPr>
                <w:rFonts w:ascii="Arial" w:hAnsi="Arial"/>
                <w:b w:val="0"/>
                <w:sz w:val="16"/>
              </w:rPr>
              <w:t>Chronological expanding-window validation, purging around overlapping labels, untouched final period, day-level uncertainty.</w:t>
            </w:r>
          </w:p>
        </w:tc>
      </w:tr>
      <w:tr>
        <w:tc>
          <w:tcPr>
            <w:tcW w:type="dxa" w:w="2268"/>
            <w:tcMar>
              <w:top w:w="75" w:type="dxa"/>
              <w:start w:w="80" w:type="dxa"/>
              <w:bottom w:w="75" w:type="dxa"/>
              <w:end w:w="80" w:type="dxa"/>
            </w:tcMar>
            <w:vAlign w:val="top"/>
          </w:tcPr>
          <w:p>
            <w:pPr>
              <w:spacing w:after="0"/>
            </w:pPr>
            <w:r>
              <w:rPr>
                <w:rFonts w:ascii="Arial" w:hAnsi="Arial"/>
                <w:b/>
                <w:sz w:val="16"/>
              </w:rPr>
              <w:t>Economic test</w:t>
            </w:r>
          </w:p>
        </w:tc>
        <w:tc>
          <w:tcPr>
            <w:tcW w:type="dxa" w:w="7483"/>
            <w:tcMar>
              <w:top w:w="75" w:type="dxa"/>
              <w:start w:w="80" w:type="dxa"/>
              <w:bottom w:w="75" w:type="dxa"/>
              <w:end w:w="80" w:type="dxa"/>
            </w:tcMar>
            <w:vAlign w:val="top"/>
          </w:tcPr>
          <w:p>
            <w:pPr>
              <w:spacing w:after="0"/>
            </w:pPr>
            <w:r>
              <w:rPr>
                <w:rFonts w:ascii="Arial" w:hAnsi="Arial"/>
                <w:b w:val="0"/>
                <w:sz w:val="16"/>
              </w:rPr>
              <w:t>Thresholded simulated strategy using executable bid/ask, latency, spread, slippage and simple impact assumptions.</w:t>
            </w:r>
          </w:p>
        </w:tc>
      </w:tr>
    </w:tbl>
    <w:p>
      <w:pPr>
        <w:spacing w:after="0"/>
      </w:pPr>
    </w:p>
    <w:p>
      <w:pPr>
        <w:pStyle w:val="Heading2"/>
        <w:keepNext/>
        <w:spacing w:before="160" w:after="100"/>
      </w:pPr>
      <w:r>
        <w:rPr>
          <w:rFonts w:ascii="Arial" w:hAnsi="Arial"/>
          <w:b/>
          <w:sz w:val="25"/>
        </w:rPr>
        <w:t>1.2 Economic question and target</w:t>
      </w:r>
    </w:p>
    <w:p>
      <w:pPr>
        <w:keepNext w:val="0"/>
        <w:spacing w:after="100" w:line="252" w:lineRule="auto"/>
      </w:pPr>
      <w:r>
        <w:rPr>
          <w:rFonts w:ascii="Arial" w:hAnsi="Arial"/>
          <w:i w:val="0"/>
        </w:rPr>
        <w:t>The clean research question is: given everything genuinely known at decision time t, does proprietary client flow add incremental information about the EUR/USD mid-price movement over the next 30 seconds after controlling for public market state? The target is deliberately a price-formation target first; tradability is tested separately.</w:t>
      </w:r>
    </w:p>
    <w:p>
      <w:pPr>
        <w:keepLines/>
        <w:spacing w:before="60" w:after="80"/>
        <w:ind w:left="312" w:right="170"/>
        <w:jc w:val="center"/>
      </w:pPr>
      <w:r>
        <w:rPr>
          <w:rFonts w:ascii="Cambria Math" w:hAnsi="Cambria Math" w:eastAsia="Cambria Math" w:cs="Cambria Math"/>
          <w:sz w:val="21"/>
        </w:rPr>
        <w:t>midₜ = (bidₜ + askₜ) / 2</w:t>
      </w:r>
    </w:p>
    <w:p>
      <w:pPr>
        <w:keepLines/>
        <w:spacing w:before="60" w:after="80"/>
        <w:ind w:left="312" w:right="170"/>
        <w:jc w:val="center"/>
      </w:pPr>
      <w:r>
        <w:rPr>
          <w:rFonts w:ascii="Cambria Math" w:hAnsi="Cambria Math" w:eastAsia="Cambria Math" w:cs="Cambria Math"/>
          <w:sz w:val="21"/>
        </w:rPr>
        <w:t>yₜ = 10,000 · [log(midₜ₊₃₀ₛ) − log(midₜ)]    (basis points)</w:t>
      </w:r>
    </w:p>
    <w:p>
      <w:pPr>
        <w:keepNext w:val="0"/>
        <w:spacing w:after="100" w:line="252" w:lineRule="auto"/>
      </w:pPr>
      <w:r>
        <w:rPr>
          <w:rFonts w:ascii="Arial" w:hAnsi="Arial"/>
          <w:i w:val="0"/>
        </w:rPr>
        <w:t>Illustrative example: if EUR/USD mid is 1.10000 at t and 1.10022 thirty seconds later, the price difference is 0.00022, or 2.2 pips for EUR/USD, and approximately a 2 bp return. Pips, price points and basis points of return are not interchangeable.</w:t>
      </w:r>
    </w:p>
    <w:p>
      <w:pPr>
        <w:pStyle w:val="Heading2"/>
        <w:keepNext/>
        <w:spacing w:before="160" w:after="100"/>
      </w:pPr>
      <w:r>
        <w:rPr>
          <w:rFonts w:ascii="Arial" w:hAnsi="Arial"/>
          <w:b/>
          <w:sz w:val="25"/>
        </w:rPr>
        <w:t>1.3 Why a 30-second horizon?</w:t>
      </w:r>
    </w:p>
    <w:p>
      <w:pPr>
        <w:pStyle w:val="ListBullet"/>
        <w:spacing w:after="50" w:line="247" w:lineRule="auto"/>
      </w:pPr>
      <w:r>
        <w:rPr>
          <w:rFonts w:ascii="Arial" w:hAnsi="Arial"/>
        </w:rPr>
        <w:t>Short enough for order-flow and microstructure information to be economically relevant.</w:t>
      </w:r>
    </w:p>
    <w:p>
      <w:pPr>
        <w:pStyle w:val="ListBullet"/>
        <w:spacing w:after="50" w:line="247" w:lineRule="auto"/>
      </w:pPr>
      <w:r>
        <w:rPr>
          <w:rFonts w:ascii="Arial" w:hAnsi="Arial"/>
        </w:rPr>
        <w:t>Long enough that the research problem is not purely a race for microsecond latency.</w:t>
      </w:r>
    </w:p>
    <w:p>
      <w:pPr>
        <w:pStyle w:val="ListBullet"/>
        <w:spacing w:after="50" w:line="247" w:lineRule="auto"/>
      </w:pPr>
      <w:r>
        <w:rPr>
          <w:rFonts w:ascii="Arial" w:hAnsi="Arial"/>
        </w:rPr>
        <w:t>Compatible with testing signal decay across nearby pre-declared horizons.</w:t>
      </w:r>
    </w:p>
    <w:p>
      <w:pPr>
        <w:pStyle w:val="ListBullet"/>
        <w:spacing w:after="50" w:line="247" w:lineRule="auto"/>
      </w:pPr>
      <w:r>
        <w:rPr>
          <w:rFonts w:ascii="Arial" w:hAnsi="Arial"/>
        </w:rPr>
        <w:t>Still short enough that transaction costs can easily overwhelm modest predictive edge, forcing disciplined economic validation.</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VERIFY</w:t>
            </w:r>
          </w:p>
          <w:p>
            <w:pPr>
              <w:spacing w:after="0"/>
            </w:pPr>
            <w:r>
              <w:rPr>
                <w:rFonts w:ascii="Arial" w:hAnsi="Arial"/>
                <w:sz w:val="18"/>
              </w:rPr>
              <w:t>The actual currency pairs, forecast horizon, sampling convention and live/research status are not established in the current material. Use the 30-second EUR/USD setup only as a technical training example.</w:t>
            </w:r>
          </w:p>
        </w:tc>
      </w:tr>
    </w:tbl>
    <w:p>
      <w:pPr>
        <w:spacing w:after="0"/>
      </w:pPr>
    </w:p>
    <w:p>
      <w:pPr>
        <w:pStyle w:val="Heading2"/>
        <w:keepNext/>
        <w:spacing w:before="160" w:after="100"/>
      </w:pPr>
      <w:r>
        <w:rPr>
          <w:rFonts w:ascii="Arial" w:hAnsi="Arial"/>
          <w:b/>
          <w:sz w:val="25"/>
        </w:rPr>
        <w:t>1.4 Raw data model</w:t>
      </w:r>
    </w:p>
    <w:p>
      <w:pPr>
        <w:keepNext w:val="0"/>
        <w:spacing w:after="100" w:line="252" w:lineRule="auto"/>
      </w:pPr>
      <w:r>
        <w:rPr>
          <w:rFonts w:ascii="Arial" w:hAnsi="Arial"/>
          <w:i w:val="0"/>
        </w:rPr>
        <w:t>The central engineering problem is asynchronous data. Market events and proprietary client events arrive on different clocks. Every feature must be reconstructed from what was actually available at the decision timestamp, not from a later corrected or fully reconciled dataset.</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1814"/>
            <w:shd w:fill="D9E1F2"/>
            <w:tcMar>
              <w:top w:w="80" w:type="dxa"/>
              <w:start w:w="80" w:type="dxa"/>
              <w:bottom w:w="80" w:type="dxa"/>
              <w:end w:w="80" w:type="dxa"/>
            </w:tcMar>
            <w:vAlign w:val="center"/>
          </w:tcPr>
          <w:p>
            <w:pPr>
              <w:jc w:val="left"/>
            </w:pPr>
            <w:r>
              <w:rPr>
                <w:rFonts w:ascii="Arial" w:hAnsi="Arial"/>
                <w:b/>
                <w:sz w:val="15"/>
              </w:rPr>
              <w:t>Dataset</w:t>
            </w:r>
          </w:p>
        </w:tc>
        <w:tc>
          <w:tcPr>
            <w:tcW w:type="dxa" w:w="4082"/>
            <w:shd w:fill="D9E1F2"/>
            <w:tcMar>
              <w:top w:w="80" w:type="dxa"/>
              <w:start w:w="80" w:type="dxa"/>
              <w:bottom w:w="80" w:type="dxa"/>
              <w:end w:w="80" w:type="dxa"/>
            </w:tcMar>
            <w:vAlign w:val="center"/>
          </w:tcPr>
          <w:p>
            <w:pPr>
              <w:jc w:val="left"/>
            </w:pPr>
            <w:r>
              <w:rPr>
                <w:rFonts w:ascii="Arial" w:hAnsi="Arial"/>
                <w:b/>
                <w:sz w:val="15"/>
              </w:rPr>
              <w:t>Example fields</w:t>
            </w:r>
          </w:p>
        </w:tc>
        <w:tc>
          <w:tcPr>
            <w:tcW w:type="dxa" w:w="3855"/>
            <w:shd w:fill="D9E1F2"/>
            <w:tcMar>
              <w:top w:w="80" w:type="dxa"/>
              <w:start w:w="80" w:type="dxa"/>
              <w:bottom w:w="80" w:type="dxa"/>
              <w:end w:w="80" w:type="dxa"/>
            </w:tcMar>
            <w:vAlign w:val="center"/>
          </w:tcPr>
          <w:p>
            <w:pPr>
              <w:jc w:val="left"/>
            </w:pPr>
            <w:r>
              <w:rPr>
                <w:rFonts w:ascii="Arial" w:hAnsi="Arial"/>
                <w:b/>
                <w:sz w:val="15"/>
              </w:rPr>
              <w:t>Timing risk</w:t>
            </w:r>
          </w:p>
        </w:tc>
      </w:tr>
      <w:tr>
        <w:tc>
          <w:tcPr>
            <w:tcW w:type="dxa" w:w="1814"/>
            <w:tcMar>
              <w:top w:w="75" w:type="dxa"/>
              <w:start w:w="80" w:type="dxa"/>
              <w:bottom w:w="75" w:type="dxa"/>
              <w:end w:w="80" w:type="dxa"/>
            </w:tcMar>
            <w:vAlign w:val="top"/>
          </w:tcPr>
          <w:p>
            <w:pPr>
              <w:spacing w:after="0"/>
            </w:pPr>
            <w:r>
              <w:rPr>
                <w:rFonts w:ascii="Arial" w:hAnsi="Arial"/>
                <w:b/>
                <w:sz w:val="15"/>
              </w:rPr>
              <w:t>Market quotes</w:t>
            </w:r>
          </w:p>
        </w:tc>
        <w:tc>
          <w:tcPr>
            <w:tcW w:type="dxa" w:w="4082"/>
            <w:tcMar>
              <w:top w:w="75" w:type="dxa"/>
              <w:start w:w="80" w:type="dxa"/>
              <w:bottom w:w="75" w:type="dxa"/>
              <w:end w:w="80" w:type="dxa"/>
            </w:tcMar>
            <w:vAlign w:val="top"/>
          </w:tcPr>
          <w:p>
            <w:pPr>
              <w:spacing w:after="0"/>
            </w:pPr>
            <w:r>
              <w:rPr>
                <w:rFonts w:ascii="Arial" w:hAnsi="Arial"/>
                <w:b w:val="0"/>
                <w:sz w:val="15"/>
              </w:rPr>
              <w:t>venue, pair, bid/ask, sizes by level, exchange timestamp, receive timestamp, sequence number</w:t>
            </w:r>
          </w:p>
        </w:tc>
        <w:tc>
          <w:tcPr>
            <w:tcW w:type="dxa" w:w="3855"/>
            <w:tcMar>
              <w:top w:w="75" w:type="dxa"/>
              <w:start w:w="80" w:type="dxa"/>
              <w:bottom w:w="75" w:type="dxa"/>
              <w:end w:w="80" w:type="dxa"/>
            </w:tcMar>
            <w:vAlign w:val="top"/>
          </w:tcPr>
          <w:p>
            <w:pPr>
              <w:spacing w:after="0"/>
            </w:pPr>
            <w:r>
              <w:rPr>
                <w:rFonts w:ascii="Arial" w:hAnsi="Arial"/>
                <w:b w:val="0"/>
                <w:sz w:val="15"/>
              </w:rPr>
              <w:t>Exchange time is not the same as local availability; stale quotes create false cross-venue lead-lag.</w:t>
            </w:r>
          </w:p>
        </w:tc>
      </w:tr>
      <w:tr>
        <w:tc>
          <w:tcPr>
            <w:tcW w:type="dxa" w:w="1814"/>
            <w:tcMar>
              <w:top w:w="75" w:type="dxa"/>
              <w:start w:w="80" w:type="dxa"/>
              <w:bottom w:w="75" w:type="dxa"/>
              <w:end w:w="80" w:type="dxa"/>
            </w:tcMar>
            <w:vAlign w:val="top"/>
          </w:tcPr>
          <w:p>
            <w:pPr>
              <w:spacing w:after="0"/>
            </w:pPr>
            <w:r>
              <w:rPr>
                <w:rFonts w:ascii="Arial" w:hAnsi="Arial"/>
                <w:b/>
                <w:sz w:val="15"/>
              </w:rPr>
              <w:t>Market trades</w:t>
            </w:r>
          </w:p>
        </w:tc>
        <w:tc>
          <w:tcPr>
            <w:tcW w:type="dxa" w:w="4082"/>
            <w:tcMar>
              <w:top w:w="75" w:type="dxa"/>
              <w:start w:w="80" w:type="dxa"/>
              <w:bottom w:w="75" w:type="dxa"/>
              <w:end w:w="80" w:type="dxa"/>
            </w:tcMar>
            <w:vAlign w:val="top"/>
          </w:tcPr>
          <w:p>
            <w:pPr>
              <w:spacing w:after="0"/>
            </w:pPr>
            <w:r>
              <w:rPr>
                <w:rFonts w:ascii="Arial" w:hAnsi="Arial"/>
                <w:b w:val="0"/>
                <w:sz w:val="15"/>
              </w:rPr>
              <w:t>price, size, aggressor side if available, venue, timestamps</w:t>
            </w:r>
          </w:p>
        </w:tc>
        <w:tc>
          <w:tcPr>
            <w:tcW w:type="dxa" w:w="3855"/>
            <w:tcMar>
              <w:top w:w="75" w:type="dxa"/>
              <w:start w:w="80" w:type="dxa"/>
              <w:bottom w:w="75" w:type="dxa"/>
              <w:end w:w="80" w:type="dxa"/>
            </w:tcMar>
            <w:vAlign w:val="top"/>
          </w:tcPr>
          <w:p>
            <w:pPr>
              <w:spacing w:after="0"/>
            </w:pPr>
            <w:r>
              <w:rPr>
                <w:rFonts w:ascii="Arial" w:hAnsi="Arial"/>
                <w:b w:val="0"/>
                <w:sz w:val="15"/>
              </w:rPr>
              <w:t>Trade classification can be noisy; late prints can leak if backfilled to event time.</w:t>
            </w:r>
          </w:p>
        </w:tc>
      </w:tr>
      <w:tr>
        <w:tc>
          <w:tcPr>
            <w:tcW w:type="dxa" w:w="1814"/>
            <w:tcMar>
              <w:top w:w="75" w:type="dxa"/>
              <w:start w:w="80" w:type="dxa"/>
              <w:bottom w:w="75" w:type="dxa"/>
              <w:end w:w="80" w:type="dxa"/>
            </w:tcMar>
            <w:vAlign w:val="top"/>
          </w:tcPr>
          <w:p>
            <w:pPr>
              <w:spacing w:after="0"/>
            </w:pPr>
            <w:r>
              <w:rPr>
                <w:rFonts w:ascii="Arial" w:hAnsi="Arial"/>
                <w:b/>
                <w:sz w:val="15"/>
              </w:rPr>
              <w:t>Client flow</w:t>
            </w:r>
          </w:p>
        </w:tc>
        <w:tc>
          <w:tcPr>
            <w:tcW w:type="dxa" w:w="4082"/>
            <w:tcMar>
              <w:top w:w="75" w:type="dxa"/>
              <w:start w:w="80" w:type="dxa"/>
              <w:bottom w:w="75" w:type="dxa"/>
              <w:end w:w="80" w:type="dxa"/>
            </w:tcMar>
            <w:vAlign w:val="top"/>
          </w:tcPr>
          <w:p>
            <w:pPr>
              <w:spacing w:after="0"/>
            </w:pPr>
            <w:r>
              <w:rPr>
                <w:rFonts w:ascii="Arial" w:hAnsi="Arial"/>
                <w:b w:val="0"/>
                <w:sz w:val="15"/>
              </w:rPr>
              <w:t>pair, side, amount, client/segment, request/trade status, event time, receive time, correction flag</w:t>
            </w:r>
          </w:p>
        </w:tc>
        <w:tc>
          <w:tcPr>
            <w:tcW w:type="dxa" w:w="3855"/>
            <w:tcMar>
              <w:top w:w="75" w:type="dxa"/>
              <w:start w:w="80" w:type="dxa"/>
              <w:bottom w:w="75" w:type="dxa"/>
              <w:end w:w="80" w:type="dxa"/>
            </w:tcMar>
            <w:vAlign w:val="top"/>
          </w:tcPr>
          <w:p>
            <w:pPr>
              <w:spacing w:after="0"/>
            </w:pPr>
            <w:r>
              <w:rPr>
                <w:rFonts w:ascii="Arial" w:hAnsi="Arial"/>
                <w:b w:val="0"/>
                <w:sz w:val="15"/>
              </w:rPr>
              <w:t>Later allocations/corrections may contain future information; only use the state known then.</w:t>
            </w:r>
          </w:p>
        </w:tc>
      </w:tr>
      <w:tr>
        <w:tc>
          <w:tcPr>
            <w:tcW w:type="dxa" w:w="1814"/>
            <w:tcMar>
              <w:top w:w="75" w:type="dxa"/>
              <w:start w:w="80" w:type="dxa"/>
              <w:bottom w:w="75" w:type="dxa"/>
              <w:end w:w="80" w:type="dxa"/>
            </w:tcMar>
            <w:vAlign w:val="top"/>
          </w:tcPr>
          <w:p>
            <w:pPr>
              <w:spacing w:after="0"/>
            </w:pPr>
            <w:r>
              <w:rPr>
                <w:rFonts w:ascii="Arial" w:hAnsi="Arial"/>
                <w:b/>
                <w:sz w:val="15"/>
              </w:rPr>
              <w:t>Reference/meta</w:t>
            </w:r>
          </w:p>
        </w:tc>
        <w:tc>
          <w:tcPr>
            <w:tcW w:type="dxa" w:w="4082"/>
            <w:tcMar>
              <w:top w:w="75" w:type="dxa"/>
              <w:start w:w="80" w:type="dxa"/>
              <w:bottom w:w="75" w:type="dxa"/>
              <w:end w:w="80" w:type="dxa"/>
            </w:tcMar>
            <w:vAlign w:val="top"/>
          </w:tcPr>
          <w:p>
            <w:pPr>
              <w:spacing w:after="0"/>
            </w:pPr>
            <w:r>
              <w:rPr>
                <w:rFonts w:ascii="Arial" w:hAnsi="Arial"/>
                <w:b w:val="0"/>
                <w:sz w:val="15"/>
              </w:rPr>
              <w:t>session, holidays, scheduled-event calendar known ex ante</w:t>
            </w:r>
          </w:p>
        </w:tc>
        <w:tc>
          <w:tcPr>
            <w:tcW w:type="dxa" w:w="3855"/>
            <w:tcMar>
              <w:top w:w="75" w:type="dxa"/>
              <w:start w:w="80" w:type="dxa"/>
              <w:bottom w:w="75" w:type="dxa"/>
              <w:end w:w="80" w:type="dxa"/>
            </w:tcMar>
            <w:vAlign w:val="top"/>
          </w:tcPr>
          <w:p>
            <w:pPr>
              <w:spacing w:after="0"/>
            </w:pPr>
            <w:r>
              <w:rPr>
                <w:rFonts w:ascii="Arial" w:hAnsi="Arial"/>
                <w:b w:val="0"/>
                <w:sz w:val="15"/>
              </w:rPr>
              <w:t>Do not use the realised surprise or post-event label as an input.</w:t>
            </w:r>
          </w:p>
        </w:tc>
      </w:tr>
    </w:tbl>
    <w:p>
      <w:pPr>
        <w:spacing w:after="0"/>
      </w:pPr>
    </w:p>
    <w:p>
      <w:pPr>
        <w:pStyle w:val="Heading2"/>
        <w:keepNext/>
        <w:spacing w:before="160" w:after="100"/>
      </w:pPr>
      <w:r>
        <w:rPr>
          <w:rFonts w:ascii="Arial" w:hAnsi="Arial"/>
          <w:b/>
          <w:sz w:val="25"/>
        </w:rPr>
        <w:t>1.5 Sampling and point-in-time construction</w:t>
      </w:r>
    </w:p>
    <w:p>
      <w:pPr>
        <w:keepNext w:val="0"/>
        <w:spacing w:after="100" w:line="252" w:lineRule="auto"/>
      </w:pPr>
      <w:r>
        <w:rPr>
          <w:rFonts w:ascii="Arial" w:hAnsi="Arial"/>
          <w:i w:val="0"/>
        </w:rPr>
        <w:t>A plausible research clock is one row per second. At each second boundary, the pipeline selects the freshest valid market state received before the cutoff and aggregates proprietary flow over strictly past windows. Future mid-price labels are joined only after feature creation. Missing future quotes are rejected or bounded by a maximum tolerance rather than carried forward indefinitely.</w:t>
      </w:r>
    </w:p>
    <w:p>
      <w:pPr>
        <w:keepLines/>
        <w:spacing w:before="60" w:after="80"/>
        <w:ind w:left="312" w:right="170"/>
        <w:jc w:val="center"/>
      </w:pPr>
      <w:r>
        <w:rPr>
          <w:rFonts w:ascii="Cambria Math" w:hAnsi="Cambria Math" w:eastAsia="Cambria Math" w:cs="Cambria Math"/>
          <w:sz w:val="21"/>
        </w:rPr>
        <w:t>Xₜ = information with receive_time ≤ t</w:t>
      </w:r>
    </w:p>
    <w:p>
      <w:pPr>
        <w:keepLines/>
        <w:spacing w:before="60" w:after="80"/>
        <w:ind w:left="312" w:right="170"/>
        <w:jc w:val="center"/>
      </w:pPr>
      <w:r>
        <w:rPr>
          <w:rFonts w:ascii="Cambria Math" w:hAnsi="Cambria Math" w:eastAsia="Cambria Math" w:cs="Cambria Math"/>
          <w:sz w:val="21"/>
        </w:rPr>
        <w:t>label interval = (t, t + 30s]</w:t>
      </w:r>
    </w:p>
    <w:p>
      <w:pPr>
        <w:keepNext w:val="0"/>
        <w:spacing w:after="100" w:line="252" w:lineRule="auto"/>
      </w:pPr>
      <w:r>
        <w:rPr>
          <w:rFonts w:ascii="Arial" w:hAnsi="Arial"/>
          <w:i w:val="0"/>
        </w:rPr>
        <w:t>Because observations are sampled every second while the target spans 30 seconds, adjacent labels overlap heavily. That reduces the effective independent sample size and requires time-blocked uncertainty estimates and purging around validation boundaries.</w:t>
      </w:r>
    </w:p>
    <w:p>
      <w:pPr>
        <w:pStyle w:val="Heading2"/>
        <w:keepNext/>
        <w:spacing w:before="160" w:after="100"/>
      </w:pPr>
      <w:r>
        <w:rPr>
          <w:rFonts w:ascii="Arial" w:hAnsi="Arial"/>
          <w:b/>
          <w:sz w:val="25"/>
        </w:rPr>
        <w:t>1.6 Feature engineering: proprietary client flow</w:t>
      </w:r>
    </w:p>
    <w:p>
      <w:pPr>
        <w:keepNext w:val="0"/>
        <w:spacing w:after="100" w:line="252" w:lineRule="auto"/>
      </w:pPr>
      <w:r>
        <w:rPr>
          <w:rFonts w:ascii="Arial" w:hAnsi="Arial"/>
          <w:i w:val="0"/>
        </w:rPr>
        <w:t>Define a consistent sign convention. In this training example, positive flow means the client buys the base currency (EUR) from the bank and negative flow means the client sells EUR.</w:t>
      </w:r>
    </w:p>
    <w:p>
      <w:pPr>
        <w:keepLines/>
        <w:spacing w:before="60" w:after="80"/>
        <w:ind w:left="312" w:right="170"/>
        <w:jc w:val="center"/>
      </w:pPr>
      <w:r>
        <w:rPr>
          <w:rFonts w:ascii="Cambria Math" w:hAnsi="Cambria Math" w:eastAsia="Cambria Math" w:cs="Cambria Math"/>
          <w:sz w:val="21"/>
        </w:rPr>
        <w:t>signed_notionalᵢ = sideᵢ · amountᵢ,   where sideᵢ = +1 for client buys EUR and −1 for client sells EUR</w:t>
      </w:r>
    </w:p>
    <w:p>
      <w:pPr>
        <w:keepLines/>
        <w:spacing w:before="60" w:after="80"/>
        <w:ind w:left="312" w:right="170"/>
        <w:jc w:val="center"/>
      </w:pPr>
      <w:r>
        <w:rPr>
          <w:rFonts w:ascii="Cambria Math" w:hAnsi="Cambria Math" w:eastAsia="Cambria Math" w:cs="Cambria Math"/>
          <w:sz w:val="21"/>
        </w:rPr>
        <w:t>Flow_W(t) = Σᵢ signed_notionalᵢ,   t − W &lt; receive_timeᵢ ≤ t</w:t>
      </w:r>
    </w:p>
    <w:p>
      <w:pPr>
        <w:keepNext w:val="0"/>
        <w:spacing w:after="100" w:line="252" w:lineRule="auto"/>
      </w:pPr>
      <w:r>
        <w:rPr>
          <w:rFonts w:ascii="Arial" w:hAnsi="Arial"/>
          <w:i w:val="0"/>
        </w:rPr>
        <w:t>Candidate flow features:</w:t>
      </w:r>
    </w:p>
    <w:p>
      <w:pPr>
        <w:pStyle w:val="ListBullet"/>
        <w:spacing w:after="50" w:line="247" w:lineRule="auto"/>
      </w:pPr>
      <w:r>
        <w:rPr>
          <w:rFonts w:ascii="Arial" w:hAnsi="Arial"/>
        </w:rPr>
        <w:t>Signed notional over 5s, 30s, 1m and 5m lookbacks; log-scaled or normalised by typical activity.</w:t>
      </w:r>
    </w:p>
    <w:p>
      <w:pPr>
        <w:pStyle w:val="ListBullet"/>
        <w:spacing w:after="50" w:line="247" w:lineRule="auto"/>
      </w:pPr>
      <w:r>
        <w:rPr>
          <w:rFonts w:ascii="Arial" w:hAnsi="Arial"/>
        </w:rPr>
        <w:t>Buy/sell count imbalance and average trade size.</w:t>
      </w:r>
    </w:p>
    <w:p>
      <w:pPr>
        <w:pStyle w:val="ListBullet"/>
        <w:spacing w:after="50" w:line="247" w:lineRule="auto"/>
      </w:pPr>
      <w:r>
        <w:rPr>
          <w:rFonts w:ascii="Arial" w:hAnsi="Arial"/>
        </w:rPr>
        <w:t>Exponentially weighted flow so recent events have greater weight.</w:t>
      </w:r>
    </w:p>
    <w:p>
      <w:pPr>
        <w:pStyle w:val="ListBullet"/>
        <w:spacing w:after="50" w:line="247" w:lineRule="auto"/>
      </w:pPr>
      <w:r>
        <w:rPr>
          <w:rFonts w:ascii="Arial" w:hAnsi="Arial"/>
        </w:rPr>
        <w:t>Flow acceleration: short-window flow minus a scaled longer-window baseline.</w:t>
      </w:r>
    </w:p>
    <w:p>
      <w:pPr>
        <w:pStyle w:val="ListBullet"/>
        <w:spacing w:after="50" w:line="247" w:lineRule="auto"/>
      </w:pPr>
      <w:r>
        <w:rPr>
          <w:rFonts w:ascii="Arial" w:hAnsi="Arial"/>
        </w:rPr>
        <w:t>Segment-specific flow where permitted and statistically justified, with shrinkage for sparse segments.</w:t>
      </w:r>
    </w:p>
    <w:p>
      <w:pPr>
        <w:pStyle w:val="ListBullet"/>
        <w:spacing w:after="50" w:line="247" w:lineRule="auto"/>
      </w:pPr>
      <w:r>
        <w:rPr>
          <w:rFonts w:ascii="Arial" w:hAnsi="Arial"/>
        </w:rPr>
        <w:t>Client-flow surprise relative to the client/segment historical norm rather than raw size only.</w:t>
      </w:r>
    </w:p>
    <w:p>
      <w:pPr>
        <w:keepNext w:val="0"/>
        <w:spacing w:after="100" w:line="252" w:lineRule="auto"/>
      </w:pPr>
      <w:r>
        <w:rPr>
          <w:rFonts w:ascii="Arial" w:hAnsi="Arial"/>
          <w:i w:val="0"/>
        </w:rPr>
        <w:t>Economic hypothesis: persistent net buying may precede market-wide demand or dealer hedging pressure. Competing explanation: clients may simply be reacting to a move already underway. That is why recent returns and public microstructure must be included as controls.</w:t>
      </w:r>
    </w:p>
    <w:p>
      <w:pPr>
        <w:pStyle w:val="Heading2"/>
        <w:keepNext/>
        <w:spacing w:before="160" w:after="100"/>
      </w:pPr>
      <w:r>
        <w:rPr>
          <w:rFonts w:ascii="Arial" w:hAnsi="Arial"/>
          <w:b/>
          <w:sz w:val="25"/>
        </w:rPr>
        <w:t>1.7 Feature engineering: public microstructure</w:t>
      </w:r>
    </w:p>
    <w:p>
      <w:pPr>
        <w:keepLines/>
        <w:spacing w:before="60" w:after="80"/>
        <w:ind w:left="312" w:right="170"/>
        <w:jc w:val="center"/>
      </w:pPr>
      <w:r>
        <w:rPr>
          <w:rFonts w:ascii="Cambria Math" w:hAnsi="Cambria Math" w:eastAsia="Cambria Math" w:cs="Cambria Math"/>
          <w:sz w:val="21"/>
        </w:rPr>
        <w:t>spreadₜ = askₜ − bidₜ</w:t>
      </w:r>
    </w:p>
    <w:p>
      <w:pPr>
        <w:keepLines/>
        <w:spacing w:before="60" w:after="80"/>
        <w:ind w:left="312" w:right="170"/>
        <w:jc w:val="center"/>
      </w:pPr>
      <w:r>
        <w:rPr>
          <w:rFonts w:ascii="Cambria Math" w:hAnsi="Cambria Math" w:eastAsia="Cambria Math" w:cs="Cambria Math"/>
          <w:sz w:val="21"/>
        </w:rPr>
        <w:t>relative_spreadₜ = (askₜ − bidₜ) / midₜ</w:t>
      </w:r>
    </w:p>
    <w:p>
      <w:pPr>
        <w:keepLines/>
        <w:spacing w:before="60" w:after="80"/>
        <w:ind w:left="312" w:right="170"/>
        <w:jc w:val="center"/>
      </w:pPr>
      <w:r>
        <w:rPr>
          <w:rFonts w:ascii="Cambria Math" w:hAnsi="Cambria Math" w:eastAsia="Cambria Math" w:cs="Cambria Math"/>
          <w:sz w:val="21"/>
        </w:rPr>
        <w:t>imbalance_L1 = (bid_size − ask_size) / (bid_size + ask_size)</w:t>
      </w:r>
    </w:p>
    <w:p>
      <w:pPr>
        <w:keepLines/>
        <w:spacing w:before="60" w:after="80"/>
        <w:ind w:left="312" w:right="170"/>
        <w:jc w:val="center"/>
      </w:pPr>
      <w:r>
        <w:rPr>
          <w:rFonts w:ascii="Cambria Math" w:hAnsi="Cambria Math" w:eastAsia="Cambria Math" w:cs="Cambria Math"/>
          <w:sz w:val="21"/>
        </w:rPr>
        <w:t>microprice = (ask · bid_size + bid · ask_size) / (bid_size + ask_size)</w:t>
      </w:r>
    </w:p>
    <w:p>
      <w:pPr>
        <w:keepLines/>
        <w:spacing w:before="60" w:after="80"/>
        <w:ind w:left="312" w:right="170"/>
        <w:jc w:val="center"/>
      </w:pPr>
      <w:r>
        <w:rPr>
          <w:rFonts w:ascii="Cambria Math" w:hAnsi="Cambria Math" w:eastAsia="Cambria Math" w:cs="Cambria Math"/>
          <w:sz w:val="21"/>
        </w:rPr>
        <w:t>microprice_deviation = microprice − mid</w:t>
      </w:r>
    </w:p>
    <w:p>
      <w:pPr>
        <w:keepNext w:val="0"/>
        <w:spacing w:after="100" w:line="252" w:lineRule="auto"/>
      </w:pPr>
      <w:r>
        <w:rPr>
          <w:rFonts w:ascii="Arial" w:hAnsi="Arial"/>
          <w:i w:val="0"/>
        </w:rPr>
        <w:t>Candidate features include top-of-book imbalance, depth imbalance over the first 3-5 levels, depth changes, recent returns over 1s/5s/10s/30s/60s, realised volatility, trade imbalance, quote age, quote update intensity, spread changes, and cross-venue price gaps. Each feature must have explicit units and a defined availability time.</w:t>
      </w:r>
    </w:p>
    <w:p>
      <w:pPr>
        <w:pStyle w:val="Heading2"/>
        <w:keepNext/>
        <w:spacing w:before="160" w:after="100"/>
      </w:pPr>
      <w:r>
        <w:rPr>
          <w:rFonts w:ascii="Arial" w:hAnsi="Arial"/>
          <w:b/>
          <w:sz w:val="25"/>
        </w:rPr>
        <w:t>1.8 Cross-venue pricing features</w:t>
      </w:r>
    </w:p>
    <w:p>
      <w:pPr>
        <w:keepLines/>
        <w:spacing w:before="60" w:after="80"/>
        <w:ind w:left="312" w:right="170"/>
        <w:jc w:val="center"/>
      </w:pPr>
      <w:r>
        <w:rPr>
          <w:rFonts w:ascii="Cambria Math" w:hAnsi="Cambria Math" w:eastAsia="Cambria Math" w:cs="Cambria Math"/>
          <w:sz w:val="21"/>
        </w:rPr>
        <w:t>gap_A_B(t) = mid_A(t) − mid_B(t)</w:t>
      </w:r>
    </w:p>
    <w:p>
      <w:pPr>
        <w:keepLines/>
        <w:spacing w:before="60" w:after="80"/>
        <w:ind w:left="312" w:right="170"/>
        <w:jc w:val="center"/>
      </w:pPr>
      <w:r>
        <w:rPr>
          <w:rFonts w:ascii="Cambria Math" w:hAnsi="Cambria Math" w:eastAsia="Cambria Math" w:cs="Cambria Math"/>
          <w:sz w:val="21"/>
        </w:rPr>
        <w:t>venue_deviationᵥ(t) = midᵥ(t) − median(mid_venues(t))</w:t>
      </w:r>
    </w:p>
    <w:p>
      <w:pPr>
        <w:keepNext w:val="0"/>
        <w:spacing w:after="100" w:line="252" w:lineRule="auto"/>
      </w:pPr>
      <w:r>
        <w:rPr>
          <w:rFonts w:ascii="Arial" w:hAnsi="Arial"/>
          <w:i w:val="0"/>
        </w:rPr>
        <w:t>The attractive but dangerous hypothesis is that one venue leads another. The main failure mode is stale data: if venue B is merely slower or its feed is delayed, venue A appears predictive in a historical merge even though the opportunity is not executable. A correct study synchronises on local receive time, filters stale/crossed quotes, and then adds artificial latency in validation.</w:t>
      </w:r>
    </w:p>
    <w:p>
      <w:pPr>
        <w:pStyle w:val="Heading2"/>
        <w:keepNext/>
        <w:spacing w:before="160" w:after="100"/>
      </w:pPr>
      <w:r>
        <w:rPr>
          <w:rFonts w:ascii="Arial" w:hAnsi="Arial"/>
          <w:b/>
          <w:sz w:val="25"/>
        </w:rPr>
        <w:t>1.9 Baselines and models</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1701"/>
            <w:shd w:fill="D9E1F2"/>
            <w:tcMar>
              <w:top w:w="80" w:type="dxa"/>
              <w:start w:w="80" w:type="dxa"/>
              <w:bottom w:w="80" w:type="dxa"/>
              <w:end w:w="80" w:type="dxa"/>
            </w:tcMar>
            <w:vAlign w:val="center"/>
          </w:tcPr>
          <w:p>
            <w:pPr>
              <w:jc w:val="left"/>
            </w:pPr>
            <w:r>
              <w:rPr>
                <w:rFonts w:ascii="Arial" w:hAnsi="Arial"/>
                <w:b/>
                <w:sz w:val="15"/>
              </w:rPr>
              <w:t>Model</w:t>
            </w:r>
          </w:p>
        </w:tc>
        <w:tc>
          <w:tcPr>
            <w:tcW w:type="dxa" w:w="2268"/>
            <w:shd w:fill="D9E1F2"/>
            <w:tcMar>
              <w:top w:w="80" w:type="dxa"/>
              <w:start w:w="80" w:type="dxa"/>
              <w:bottom w:w="80" w:type="dxa"/>
              <w:end w:w="80" w:type="dxa"/>
            </w:tcMar>
            <w:vAlign w:val="center"/>
          </w:tcPr>
          <w:p>
            <w:pPr>
              <w:jc w:val="left"/>
            </w:pPr>
            <w:r>
              <w:rPr>
                <w:rFonts w:ascii="Arial" w:hAnsi="Arial"/>
                <w:b/>
                <w:sz w:val="15"/>
              </w:rPr>
              <w:t>Purpose</w:t>
            </w:r>
          </w:p>
        </w:tc>
        <w:tc>
          <w:tcPr>
            <w:tcW w:type="dxa" w:w="2948"/>
            <w:shd w:fill="D9E1F2"/>
            <w:tcMar>
              <w:top w:w="80" w:type="dxa"/>
              <w:start w:w="80" w:type="dxa"/>
              <w:bottom w:w="80" w:type="dxa"/>
              <w:end w:w="80" w:type="dxa"/>
            </w:tcMar>
            <w:vAlign w:val="center"/>
          </w:tcPr>
          <w:p>
            <w:pPr>
              <w:jc w:val="left"/>
            </w:pPr>
            <w:r>
              <w:rPr>
                <w:rFonts w:ascii="Arial" w:hAnsi="Arial"/>
                <w:b/>
                <w:sz w:val="15"/>
              </w:rPr>
              <w:t>What it can capture</w:t>
            </w:r>
          </w:p>
        </w:tc>
        <w:tc>
          <w:tcPr>
            <w:tcW w:type="dxa" w:w="2835"/>
            <w:shd w:fill="D9E1F2"/>
            <w:tcMar>
              <w:top w:w="80" w:type="dxa"/>
              <w:start w:w="80" w:type="dxa"/>
              <w:bottom w:w="80" w:type="dxa"/>
              <w:end w:w="80" w:type="dxa"/>
            </w:tcMar>
            <w:vAlign w:val="center"/>
          </w:tcPr>
          <w:p>
            <w:pPr>
              <w:jc w:val="left"/>
            </w:pPr>
            <w:r>
              <w:rPr>
                <w:rFonts w:ascii="Arial" w:hAnsi="Arial"/>
                <w:b/>
                <w:sz w:val="15"/>
              </w:rPr>
              <w:t>Key weakness</w:t>
            </w:r>
          </w:p>
        </w:tc>
      </w:tr>
      <w:tr>
        <w:tc>
          <w:tcPr>
            <w:tcW w:type="dxa" w:w="1701"/>
            <w:tcMar>
              <w:top w:w="75" w:type="dxa"/>
              <w:start w:w="80" w:type="dxa"/>
              <w:bottom w:w="75" w:type="dxa"/>
              <w:end w:w="80" w:type="dxa"/>
            </w:tcMar>
            <w:vAlign w:val="top"/>
          </w:tcPr>
          <w:p>
            <w:pPr>
              <w:spacing w:after="0"/>
            </w:pPr>
            <w:r>
              <w:rPr>
                <w:rFonts w:ascii="Arial" w:hAnsi="Arial"/>
                <w:b/>
                <w:sz w:val="15"/>
              </w:rPr>
              <w:t>Zero-return</w:t>
            </w:r>
          </w:p>
        </w:tc>
        <w:tc>
          <w:tcPr>
            <w:tcW w:type="dxa" w:w="2268"/>
            <w:tcMar>
              <w:top w:w="75" w:type="dxa"/>
              <w:start w:w="80" w:type="dxa"/>
              <w:bottom w:w="75" w:type="dxa"/>
              <w:end w:w="80" w:type="dxa"/>
            </w:tcMar>
            <w:vAlign w:val="top"/>
          </w:tcPr>
          <w:p>
            <w:pPr>
              <w:spacing w:after="0"/>
            </w:pPr>
            <w:r>
              <w:rPr>
                <w:rFonts w:ascii="Arial" w:hAnsi="Arial"/>
                <w:b w:val="0"/>
                <w:sz w:val="15"/>
              </w:rPr>
              <w:t>Sanity baseline</w:t>
            </w:r>
          </w:p>
        </w:tc>
        <w:tc>
          <w:tcPr>
            <w:tcW w:type="dxa" w:w="2948"/>
            <w:tcMar>
              <w:top w:w="75" w:type="dxa"/>
              <w:start w:w="80" w:type="dxa"/>
              <w:bottom w:w="75" w:type="dxa"/>
              <w:end w:w="80" w:type="dxa"/>
            </w:tcMar>
            <w:vAlign w:val="top"/>
          </w:tcPr>
          <w:p>
            <w:pPr>
              <w:spacing w:after="0"/>
            </w:pPr>
            <w:r>
              <w:rPr>
                <w:rFonts w:ascii="Arial" w:hAnsi="Arial"/>
                <w:b w:val="0"/>
                <w:sz w:val="15"/>
              </w:rPr>
              <w:t>Nothing; predicts y=0</w:t>
            </w:r>
          </w:p>
        </w:tc>
        <w:tc>
          <w:tcPr>
            <w:tcW w:type="dxa" w:w="2835"/>
            <w:tcMar>
              <w:top w:w="75" w:type="dxa"/>
              <w:start w:w="80" w:type="dxa"/>
              <w:bottom w:w="75" w:type="dxa"/>
              <w:end w:w="80" w:type="dxa"/>
            </w:tcMar>
            <w:vAlign w:val="top"/>
          </w:tcPr>
          <w:p>
            <w:pPr>
              <w:spacing w:after="0"/>
            </w:pPr>
            <w:r>
              <w:rPr>
                <w:rFonts w:ascii="Arial" w:hAnsi="Arial"/>
                <w:b w:val="0"/>
                <w:sz w:val="15"/>
              </w:rPr>
              <w:t>Must still be hard to beat at short horizons.</w:t>
            </w:r>
          </w:p>
        </w:tc>
      </w:tr>
      <w:tr>
        <w:tc>
          <w:tcPr>
            <w:tcW w:type="dxa" w:w="1701"/>
            <w:tcMar>
              <w:top w:w="75" w:type="dxa"/>
              <w:start w:w="80" w:type="dxa"/>
              <w:bottom w:w="75" w:type="dxa"/>
              <w:end w:w="80" w:type="dxa"/>
            </w:tcMar>
            <w:vAlign w:val="top"/>
          </w:tcPr>
          <w:p>
            <w:pPr>
              <w:spacing w:after="0"/>
            </w:pPr>
            <w:r>
              <w:rPr>
                <w:rFonts w:ascii="Arial" w:hAnsi="Arial"/>
                <w:b/>
                <w:sz w:val="15"/>
              </w:rPr>
              <w:t>Recent momentum</w:t>
            </w:r>
          </w:p>
        </w:tc>
        <w:tc>
          <w:tcPr>
            <w:tcW w:type="dxa" w:w="2268"/>
            <w:tcMar>
              <w:top w:w="75" w:type="dxa"/>
              <w:start w:w="80" w:type="dxa"/>
              <w:bottom w:w="75" w:type="dxa"/>
              <w:end w:w="80" w:type="dxa"/>
            </w:tcMar>
            <w:vAlign w:val="top"/>
          </w:tcPr>
          <w:p>
            <w:pPr>
              <w:spacing w:after="0"/>
            </w:pPr>
            <w:r>
              <w:rPr>
                <w:rFonts w:ascii="Arial" w:hAnsi="Arial"/>
                <w:b w:val="0"/>
                <w:sz w:val="15"/>
              </w:rPr>
              <w:t>Economic baseline</w:t>
            </w:r>
          </w:p>
        </w:tc>
        <w:tc>
          <w:tcPr>
            <w:tcW w:type="dxa" w:w="2948"/>
            <w:tcMar>
              <w:top w:w="75" w:type="dxa"/>
              <w:start w:w="80" w:type="dxa"/>
              <w:bottom w:w="75" w:type="dxa"/>
              <w:end w:w="80" w:type="dxa"/>
            </w:tcMar>
            <w:vAlign w:val="top"/>
          </w:tcPr>
          <w:p>
            <w:pPr>
              <w:spacing w:after="0"/>
            </w:pPr>
            <w:r>
              <w:rPr>
                <w:rFonts w:ascii="Arial" w:hAnsi="Arial"/>
                <w:b w:val="0"/>
                <w:sz w:val="15"/>
              </w:rPr>
              <w:t>Continuation/reversal from recent returns</w:t>
            </w:r>
          </w:p>
        </w:tc>
        <w:tc>
          <w:tcPr>
            <w:tcW w:type="dxa" w:w="2835"/>
            <w:tcMar>
              <w:top w:w="75" w:type="dxa"/>
              <w:start w:w="80" w:type="dxa"/>
              <w:bottom w:w="75" w:type="dxa"/>
              <w:end w:w="80" w:type="dxa"/>
            </w:tcMar>
            <w:vAlign w:val="top"/>
          </w:tcPr>
          <w:p>
            <w:pPr>
              <w:spacing w:after="0"/>
            </w:pPr>
            <w:r>
              <w:rPr>
                <w:rFonts w:ascii="Arial" w:hAnsi="Arial"/>
                <w:b w:val="0"/>
                <w:sz w:val="15"/>
              </w:rPr>
              <w:t>Can mistake transient microstructure for alpha.</w:t>
            </w:r>
          </w:p>
        </w:tc>
      </w:tr>
      <w:tr>
        <w:tc>
          <w:tcPr>
            <w:tcW w:type="dxa" w:w="1701"/>
            <w:tcMar>
              <w:top w:w="75" w:type="dxa"/>
              <w:start w:w="80" w:type="dxa"/>
              <w:bottom w:w="75" w:type="dxa"/>
              <w:end w:w="80" w:type="dxa"/>
            </w:tcMar>
            <w:vAlign w:val="top"/>
          </w:tcPr>
          <w:p>
            <w:pPr>
              <w:spacing w:after="0"/>
            </w:pPr>
            <w:r>
              <w:rPr>
                <w:rFonts w:ascii="Arial" w:hAnsi="Arial"/>
                <w:b/>
                <w:sz w:val="15"/>
              </w:rPr>
              <w:t>ElasticNet</w:t>
            </w:r>
          </w:p>
        </w:tc>
        <w:tc>
          <w:tcPr>
            <w:tcW w:type="dxa" w:w="2268"/>
            <w:tcMar>
              <w:top w:w="75" w:type="dxa"/>
              <w:start w:w="80" w:type="dxa"/>
              <w:bottom w:w="75" w:type="dxa"/>
              <w:end w:w="80" w:type="dxa"/>
            </w:tcMar>
            <w:vAlign w:val="top"/>
          </w:tcPr>
          <w:p>
            <w:pPr>
              <w:spacing w:after="0"/>
            </w:pPr>
            <w:r>
              <w:rPr>
                <w:rFonts w:ascii="Arial" w:hAnsi="Arial"/>
                <w:b w:val="0"/>
                <w:sz w:val="15"/>
              </w:rPr>
              <w:t>Primary interpretable model</w:t>
            </w:r>
          </w:p>
        </w:tc>
        <w:tc>
          <w:tcPr>
            <w:tcW w:type="dxa" w:w="2948"/>
            <w:tcMar>
              <w:top w:w="75" w:type="dxa"/>
              <w:start w:w="80" w:type="dxa"/>
              <w:bottom w:w="75" w:type="dxa"/>
              <w:end w:w="80" w:type="dxa"/>
            </w:tcMar>
            <w:vAlign w:val="top"/>
          </w:tcPr>
          <w:p>
            <w:pPr>
              <w:spacing w:after="0"/>
            </w:pPr>
            <w:r>
              <w:rPr>
                <w:rFonts w:ascii="Arial" w:hAnsi="Arial"/>
                <w:b w:val="0"/>
                <w:sz w:val="15"/>
              </w:rPr>
              <w:t>Linear effects with L1/L2 regularisation across correlated windows</w:t>
            </w:r>
          </w:p>
        </w:tc>
        <w:tc>
          <w:tcPr>
            <w:tcW w:type="dxa" w:w="2835"/>
            <w:tcMar>
              <w:top w:w="75" w:type="dxa"/>
              <w:start w:w="80" w:type="dxa"/>
              <w:bottom w:w="75" w:type="dxa"/>
              <w:end w:w="80" w:type="dxa"/>
            </w:tcMar>
            <w:vAlign w:val="top"/>
          </w:tcPr>
          <w:p>
            <w:pPr>
              <w:spacing w:after="0"/>
            </w:pPr>
            <w:r>
              <w:rPr>
                <w:rFonts w:ascii="Arial" w:hAnsi="Arial"/>
                <w:b w:val="0"/>
                <w:sz w:val="15"/>
              </w:rPr>
              <w:t>Misses nonlinear interactions unless engineered.</w:t>
            </w:r>
          </w:p>
        </w:tc>
      </w:tr>
      <w:tr>
        <w:tc>
          <w:tcPr>
            <w:tcW w:type="dxa" w:w="1701"/>
            <w:tcMar>
              <w:top w:w="75" w:type="dxa"/>
              <w:start w:w="80" w:type="dxa"/>
              <w:bottom w:w="75" w:type="dxa"/>
              <w:end w:w="80" w:type="dxa"/>
            </w:tcMar>
            <w:vAlign w:val="top"/>
          </w:tcPr>
          <w:p>
            <w:pPr>
              <w:spacing w:after="0"/>
            </w:pPr>
            <w:r>
              <w:rPr>
                <w:rFonts w:ascii="Arial" w:hAnsi="Arial"/>
                <w:b/>
                <w:sz w:val="15"/>
              </w:rPr>
              <w:t>Gradient-boosted trees</w:t>
            </w:r>
          </w:p>
        </w:tc>
        <w:tc>
          <w:tcPr>
            <w:tcW w:type="dxa" w:w="2268"/>
            <w:tcMar>
              <w:top w:w="75" w:type="dxa"/>
              <w:start w:w="80" w:type="dxa"/>
              <w:bottom w:w="75" w:type="dxa"/>
              <w:end w:w="80" w:type="dxa"/>
            </w:tcMar>
            <w:vAlign w:val="top"/>
          </w:tcPr>
          <w:p>
            <w:pPr>
              <w:spacing w:after="0"/>
            </w:pPr>
            <w:r>
              <w:rPr>
                <w:rFonts w:ascii="Arial" w:hAnsi="Arial"/>
                <w:b w:val="0"/>
                <w:sz w:val="15"/>
              </w:rPr>
              <w:t>Nonlinear challenger</w:t>
            </w:r>
          </w:p>
        </w:tc>
        <w:tc>
          <w:tcPr>
            <w:tcW w:type="dxa" w:w="2948"/>
            <w:tcMar>
              <w:top w:w="75" w:type="dxa"/>
              <w:start w:w="80" w:type="dxa"/>
              <w:bottom w:w="75" w:type="dxa"/>
              <w:end w:w="80" w:type="dxa"/>
            </w:tcMar>
            <w:vAlign w:val="top"/>
          </w:tcPr>
          <w:p>
            <w:pPr>
              <w:spacing w:after="0"/>
            </w:pPr>
            <w:r>
              <w:rPr>
                <w:rFonts w:ascii="Arial" w:hAnsi="Arial"/>
                <w:b w:val="0"/>
                <w:sz w:val="15"/>
              </w:rPr>
              <w:t>Thresholds/interactions such as flow x liquidity x volatility</w:t>
            </w:r>
          </w:p>
        </w:tc>
        <w:tc>
          <w:tcPr>
            <w:tcW w:type="dxa" w:w="2835"/>
            <w:tcMar>
              <w:top w:w="75" w:type="dxa"/>
              <w:start w:w="80" w:type="dxa"/>
              <w:bottom w:w="75" w:type="dxa"/>
              <w:end w:w="80" w:type="dxa"/>
            </w:tcMar>
            <w:vAlign w:val="top"/>
          </w:tcPr>
          <w:p>
            <w:pPr>
              <w:spacing w:after="0"/>
            </w:pPr>
            <w:r>
              <w:rPr>
                <w:rFonts w:ascii="Arial" w:hAnsi="Arial"/>
                <w:b w:val="0"/>
                <w:sz w:val="15"/>
              </w:rPr>
              <w:t>More flexible, potentially less stable and harder to extrapolate.</w:t>
            </w:r>
          </w:p>
        </w:tc>
      </w:tr>
      <w:tr>
        <w:tc>
          <w:tcPr>
            <w:tcW w:type="dxa" w:w="1701"/>
            <w:tcMar>
              <w:top w:w="75" w:type="dxa"/>
              <w:start w:w="80" w:type="dxa"/>
              <w:bottom w:w="75" w:type="dxa"/>
              <w:end w:w="80" w:type="dxa"/>
            </w:tcMar>
            <w:vAlign w:val="top"/>
          </w:tcPr>
          <w:p>
            <w:pPr>
              <w:spacing w:after="0"/>
            </w:pPr>
            <w:r>
              <w:rPr>
                <w:rFonts w:ascii="Arial" w:hAnsi="Arial"/>
                <w:b/>
                <w:sz w:val="15"/>
              </w:rPr>
              <w:t>Simple stack</w:t>
            </w:r>
          </w:p>
        </w:tc>
        <w:tc>
          <w:tcPr>
            <w:tcW w:type="dxa" w:w="2268"/>
            <w:tcMar>
              <w:top w:w="75" w:type="dxa"/>
              <w:start w:w="80" w:type="dxa"/>
              <w:bottom w:w="75" w:type="dxa"/>
              <w:end w:w="80" w:type="dxa"/>
            </w:tcMar>
            <w:vAlign w:val="top"/>
          </w:tcPr>
          <w:p>
            <w:pPr>
              <w:spacing w:after="0"/>
            </w:pPr>
            <w:r>
              <w:rPr>
                <w:rFonts w:ascii="Arial" w:hAnsi="Arial"/>
                <w:b w:val="0"/>
                <w:sz w:val="15"/>
              </w:rPr>
              <w:t>Combine complementary errors</w:t>
            </w:r>
          </w:p>
        </w:tc>
        <w:tc>
          <w:tcPr>
            <w:tcW w:type="dxa" w:w="2948"/>
            <w:tcMar>
              <w:top w:w="75" w:type="dxa"/>
              <w:start w:w="80" w:type="dxa"/>
              <w:bottom w:w="75" w:type="dxa"/>
              <w:end w:w="80" w:type="dxa"/>
            </w:tcMar>
            <w:vAlign w:val="top"/>
          </w:tcPr>
          <w:p>
            <w:pPr>
              <w:spacing w:after="0"/>
            </w:pPr>
            <w:r>
              <w:rPr>
                <w:rFonts w:ascii="Arial" w:hAnsi="Arial"/>
                <w:b w:val="0"/>
                <w:sz w:val="15"/>
              </w:rPr>
              <w:t>Weighted blend/meta-model on genuine OOS base predictions</w:t>
            </w:r>
          </w:p>
        </w:tc>
        <w:tc>
          <w:tcPr>
            <w:tcW w:type="dxa" w:w="2835"/>
            <w:tcMar>
              <w:top w:w="75" w:type="dxa"/>
              <w:start w:w="80" w:type="dxa"/>
              <w:bottom w:w="75" w:type="dxa"/>
              <w:end w:w="80" w:type="dxa"/>
            </w:tcMar>
            <w:vAlign w:val="top"/>
          </w:tcPr>
          <w:p>
            <w:pPr>
              <w:spacing w:after="0"/>
            </w:pPr>
            <w:r>
              <w:rPr>
                <w:rFonts w:ascii="Arial" w:hAnsi="Arial"/>
                <w:b w:val="0"/>
                <w:sz w:val="15"/>
              </w:rPr>
              <w:t>Easy to leak and overfit if OOS predictions are constructed incorrectly.</w:t>
            </w:r>
          </w:p>
        </w:tc>
      </w:tr>
    </w:tbl>
    <w:p>
      <w:pPr>
        <w:spacing w:after="0"/>
      </w:pPr>
    </w:p>
    <w:p>
      <w:pPr>
        <w:pStyle w:val="Heading2"/>
        <w:keepNext/>
        <w:spacing w:before="160" w:after="100"/>
      </w:pPr>
      <w:r>
        <w:rPr>
          <w:rFonts w:ascii="Arial" w:hAnsi="Arial"/>
          <w:b/>
          <w:sz w:val="25"/>
        </w:rPr>
        <w:t>1.10 ElasticNet formulation</w:t>
      </w:r>
    </w:p>
    <w:p>
      <w:pPr>
        <w:keepLines/>
        <w:spacing w:before="60" w:after="80"/>
        <w:ind w:left="312" w:right="170"/>
        <w:jc w:val="center"/>
      </w:pPr>
      <w:r>
        <w:rPr>
          <w:rFonts w:ascii="Cambria Math" w:hAnsi="Cambria Math" w:eastAsia="Cambria Math" w:cs="Cambria Math"/>
          <w:sz w:val="21"/>
        </w:rPr>
        <w:t>ŷ = β₀ + Σⱼ βⱼxⱼ</w:t>
      </w:r>
    </w:p>
    <w:p>
      <w:pPr>
        <w:keepLines/>
        <w:spacing w:before="60" w:after="80"/>
        <w:ind w:left="312" w:right="170"/>
        <w:jc w:val="center"/>
      </w:pPr>
      <w:r>
        <w:rPr>
          <w:rFonts w:ascii="Cambria Math" w:hAnsi="Cambria Math" w:eastAsia="Cambria Math" w:cs="Cambria Math"/>
          <w:sz w:val="21"/>
        </w:rPr>
        <w:t>minᵦ  MSE + λ [ α‖β‖₁ + (1 − α)‖β‖₂² ]</w:t>
      </w:r>
    </w:p>
    <w:p>
      <w:pPr>
        <w:keepNext w:val="0"/>
        <w:spacing w:after="100" w:line="252" w:lineRule="auto"/>
      </w:pPr>
      <w:r>
        <w:rPr>
          <w:rFonts w:ascii="Arial" w:hAnsi="Arial"/>
          <w:i w:val="0"/>
        </w:rPr>
        <w:t>ElasticNet is a natural choice when multiple flow windows, return windows and depth measures are correlated. The L1 component can remove weak features; the L2 component stabilises families of correlated predictors. All continuous features should be scaled using statistics fitted only on the training fold.</w:t>
      </w:r>
    </w:p>
    <w:p>
      <w:pPr>
        <w:pStyle w:val="Heading2"/>
        <w:keepNext/>
        <w:spacing w:before="160" w:after="100"/>
      </w:pPr>
      <w:r>
        <w:rPr>
          <w:rFonts w:ascii="Arial" w:hAnsi="Arial"/>
          <w:b/>
          <w:sz w:val="25"/>
        </w:rPr>
        <w:t>1.11 Hyperparameter selection</w:t>
      </w:r>
    </w:p>
    <w:p>
      <w:pPr>
        <w:keepNext w:val="0"/>
        <w:spacing w:after="100" w:line="252" w:lineRule="auto"/>
      </w:pPr>
      <w:r>
        <w:rPr>
          <w:rFonts w:ascii="Arial" w:hAnsi="Arial"/>
          <w:i w:val="0"/>
        </w:rPr>
        <w:t>A plausible search uses log-spaced regularisation strength and a small grid or Bayesian/random search over the L1/L2 mixing ratio. Selection occurs only inside chronological training folds. A later outer block evaluates the complete model-selection procedure, not merely the final fitted coefficients.</w:t>
      </w:r>
    </w:p>
    <w:p>
      <w:pPr>
        <w:spacing w:before="40" w:after="100"/>
        <w:ind w:left="312" w:right="170"/>
      </w:pPr>
      <w:r>
        <w:rPr>
          <w:rFonts w:ascii="Courier New" w:hAnsi="Courier New"/>
          <w:sz w:val="18"/>
        </w:rPr>
        <w:t>example lambda grid: 1e-5, 1e-4, 1e-3, 1e-2, 1e-1</w:t>
      </w:r>
    </w:p>
    <w:p>
      <w:pPr>
        <w:spacing w:before="40" w:after="100"/>
        <w:ind w:left="312" w:right="170"/>
      </w:pPr>
      <w:r>
        <w:rPr>
          <w:rFonts w:ascii="Courier New" w:hAnsi="Courier New"/>
          <w:sz w:val="18"/>
        </w:rPr>
        <w:t>example l1_ratio grid: 0.10, 0.25, 0.50, 0.75, 0.90</w:t>
      </w:r>
    </w:p>
    <w:p>
      <w:pPr>
        <w:pStyle w:val="Heading2"/>
        <w:keepNext/>
        <w:spacing w:before="160" w:after="100"/>
      </w:pPr>
      <w:r>
        <w:rPr>
          <w:rFonts w:ascii="Arial" w:hAnsi="Arial"/>
          <w:b/>
          <w:sz w:val="25"/>
        </w:rPr>
        <w:t>1.12 Stacking without leakage</w:t>
      </w:r>
    </w:p>
    <w:p>
      <w:pPr>
        <w:keepNext w:val="0"/>
        <w:spacing w:after="100" w:line="252" w:lineRule="auto"/>
      </w:pPr>
      <w:r>
        <w:rPr>
          <w:rFonts w:ascii="Arial" w:hAnsi="Arial"/>
          <w:i w:val="0"/>
        </w:rPr>
        <w:t>Suppose ElasticNet and a boosted-tree model have complementary errors. The stacker must be trained on predictions that were genuinely out of sample for the base models:</w:t>
      </w:r>
    </w:p>
    <w:p>
      <w:pPr>
        <w:pStyle w:val="ListBullet"/>
        <w:spacing w:after="50" w:line="247" w:lineRule="auto"/>
      </w:pPr>
      <w:r>
        <w:rPr>
          <w:rFonts w:ascii="Arial" w:hAnsi="Arial"/>
        </w:rPr>
        <w:t>Train base models on Jan-Mar -&gt; predict Apr.</w:t>
      </w:r>
    </w:p>
    <w:p>
      <w:pPr>
        <w:pStyle w:val="ListBullet"/>
        <w:spacing w:after="50" w:line="247" w:lineRule="auto"/>
      </w:pPr>
      <w:r>
        <w:rPr>
          <w:rFonts w:ascii="Arial" w:hAnsi="Arial"/>
        </w:rPr>
        <w:t>Train Jan-Apr -&gt; predict May.</w:t>
      </w:r>
    </w:p>
    <w:p>
      <w:pPr>
        <w:pStyle w:val="ListBullet"/>
        <w:spacing w:after="50" w:line="247" w:lineRule="auto"/>
      </w:pPr>
      <w:r>
        <w:rPr>
          <w:rFonts w:ascii="Arial" w:hAnsi="Arial"/>
        </w:rPr>
        <w:t>Train Jan-May -&gt; predict Jun.</w:t>
      </w:r>
    </w:p>
    <w:p>
      <w:pPr>
        <w:pStyle w:val="ListBullet"/>
        <w:spacing w:after="50" w:line="247" w:lineRule="auto"/>
      </w:pPr>
      <w:r>
        <w:rPr>
          <w:rFonts w:ascii="Arial" w:hAnsi="Arial"/>
        </w:rPr>
        <w:t>Concatenate Apr-Jun predictions and outcomes -&gt; fit a simple linear/constrained stacker.</w:t>
      </w:r>
    </w:p>
    <w:p>
      <w:pPr>
        <w:pStyle w:val="ListBullet"/>
        <w:spacing w:after="50" w:line="247" w:lineRule="auto"/>
      </w:pPr>
      <w:r>
        <w:rPr>
          <w:rFonts w:ascii="Arial" w:hAnsi="Arial"/>
        </w:rPr>
        <w:t>Evaluate the complete ensemble on a later untouched block, e.g. Jul-Sep.</w:t>
      </w:r>
    </w:p>
    <w:p>
      <w:pPr>
        <w:keepNext w:val="0"/>
        <w:spacing w:after="100" w:line="252" w:lineRule="auto"/>
      </w:pPr>
      <w:r>
        <w:rPr>
          <w:rFonts w:ascii="Arial" w:hAnsi="Arial"/>
          <w:i w:val="0"/>
        </w:rPr>
        <w:t>Training a stacker on in-sample predictions from the base learners is a subtle but serious target leak.</w:t>
      </w:r>
    </w:p>
    <w:p>
      <w:pPr>
        <w:pStyle w:val="Heading2"/>
        <w:keepNext/>
        <w:spacing w:before="160" w:after="100"/>
      </w:pPr>
      <w:r>
        <w:rPr>
          <w:rFonts w:ascii="Arial" w:hAnsi="Arial"/>
          <w:b/>
          <w:sz w:val="25"/>
        </w:rPr>
        <w:t>1.13 Validation architecture</w:t>
      </w:r>
    </w:p>
    <w:p>
      <w:pPr>
        <w:keepNext w:val="0"/>
        <w:spacing w:after="100" w:line="252" w:lineRule="auto"/>
      </w:pPr>
      <w:r>
        <w:rPr>
          <w:rFonts w:ascii="Arial" w:hAnsi="Arial"/>
          <w:i w:val="0"/>
        </w:rPr>
        <w:t>Illustrative research period: 18 months. Twelve months are used for expanding-window model development, three months for model-selection / calibration checks, and the final three months remain untouched until the research process is frozen. Results are also broken down by session, volatility regime and pair.</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1814"/>
            <w:shd w:fill="D9E1F2"/>
            <w:tcMar>
              <w:top w:w="80" w:type="dxa"/>
              <w:start w:w="80" w:type="dxa"/>
              <w:bottom w:w="80" w:type="dxa"/>
              <w:end w:w="80" w:type="dxa"/>
            </w:tcMar>
            <w:vAlign w:val="center"/>
          </w:tcPr>
          <w:p>
            <w:pPr>
              <w:jc w:val="left"/>
            </w:pPr>
            <w:r>
              <w:rPr>
                <w:rFonts w:ascii="Arial" w:hAnsi="Arial"/>
                <w:b/>
                <w:sz w:val="16"/>
              </w:rPr>
              <w:t>Stage</w:t>
            </w:r>
          </w:p>
        </w:tc>
        <w:tc>
          <w:tcPr>
            <w:tcW w:type="dxa" w:w="2381"/>
            <w:shd w:fill="D9E1F2"/>
            <w:tcMar>
              <w:top w:w="80" w:type="dxa"/>
              <w:start w:w="80" w:type="dxa"/>
              <w:bottom w:w="80" w:type="dxa"/>
              <w:end w:w="80" w:type="dxa"/>
            </w:tcMar>
            <w:vAlign w:val="center"/>
          </w:tcPr>
          <w:p>
            <w:pPr>
              <w:jc w:val="left"/>
            </w:pPr>
            <w:r>
              <w:rPr>
                <w:rFonts w:ascii="Arial" w:hAnsi="Arial"/>
                <w:b/>
                <w:sz w:val="16"/>
              </w:rPr>
              <w:t>Illustrative period</w:t>
            </w:r>
          </w:p>
        </w:tc>
        <w:tc>
          <w:tcPr>
            <w:tcW w:type="dxa" w:w="5556"/>
            <w:shd w:fill="D9E1F2"/>
            <w:tcMar>
              <w:top w:w="80" w:type="dxa"/>
              <w:start w:w="80" w:type="dxa"/>
              <w:bottom w:w="80" w:type="dxa"/>
              <w:end w:w="80" w:type="dxa"/>
            </w:tcMar>
            <w:vAlign w:val="center"/>
          </w:tcPr>
          <w:p>
            <w:pPr>
              <w:jc w:val="left"/>
            </w:pPr>
            <w:r>
              <w:rPr>
                <w:rFonts w:ascii="Arial" w:hAnsi="Arial"/>
                <w:b/>
                <w:sz w:val="16"/>
              </w:rPr>
              <w:t>Purpose</w:t>
            </w:r>
          </w:p>
        </w:tc>
      </w:tr>
      <w:tr>
        <w:tc>
          <w:tcPr>
            <w:tcW w:type="dxa" w:w="1814"/>
            <w:tcMar>
              <w:top w:w="75" w:type="dxa"/>
              <w:start w:w="80" w:type="dxa"/>
              <w:bottom w:w="75" w:type="dxa"/>
              <w:end w:w="80" w:type="dxa"/>
            </w:tcMar>
            <w:vAlign w:val="top"/>
          </w:tcPr>
          <w:p>
            <w:pPr>
              <w:spacing w:after="0"/>
            </w:pPr>
            <w:r>
              <w:rPr>
                <w:rFonts w:ascii="Arial" w:hAnsi="Arial"/>
                <w:b/>
                <w:sz w:val="16"/>
              </w:rPr>
              <w:t>Development</w:t>
            </w:r>
          </w:p>
        </w:tc>
        <w:tc>
          <w:tcPr>
            <w:tcW w:type="dxa" w:w="2381"/>
            <w:tcMar>
              <w:top w:w="75" w:type="dxa"/>
              <w:start w:w="80" w:type="dxa"/>
              <w:bottom w:w="75" w:type="dxa"/>
              <w:end w:w="80" w:type="dxa"/>
            </w:tcMar>
            <w:vAlign w:val="top"/>
          </w:tcPr>
          <w:p>
            <w:pPr>
              <w:spacing w:after="0"/>
            </w:pPr>
            <w:r>
              <w:rPr>
                <w:rFonts w:ascii="Arial" w:hAnsi="Arial"/>
                <w:b w:val="0"/>
                <w:sz w:val="16"/>
              </w:rPr>
              <w:t>Months 1-12</w:t>
            </w:r>
          </w:p>
        </w:tc>
        <w:tc>
          <w:tcPr>
            <w:tcW w:type="dxa" w:w="5556"/>
            <w:tcMar>
              <w:top w:w="75" w:type="dxa"/>
              <w:start w:w="80" w:type="dxa"/>
              <w:bottom w:w="75" w:type="dxa"/>
              <w:end w:w="80" w:type="dxa"/>
            </w:tcMar>
            <w:vAlign w:val="top"/>
          </w:tcPr>
          <w:p>
            <w:pPr>
              <w:spacing w:after="0"/>
            </w:pPr>
            <w:r>
              <w:rPr>
                <w:rFonts w:ascii="Arial" w:hAnsi="Arial"/>
                <w:b w:val="0"/>
                <w:sz w:val="16"/>
              </w:rPr>
              <w:t>Feature hypotheses, model candidates, inner chronological tuning.</w:t>
            </w:r>
          </w:p>
        </w:tc>
      </w:tr>
      <w:tr>
        <w:tc>
          <w:tcPr>
            <w:tcW w:type="dxa" w:w="1814"/>
            <w:tcMar>
              <w:top w:w="75" w:type="dxa"/>
              <w:start w:w="80" w:type="dxa"/>
              <w:bottom w:w="75" w:type="dxa"/>
              <w:end w:w="80" w:type="dxa"/>
            </w:tcMar>
            <w:vAlign w:val="top"/>
          </w:tcPr>
          <w:p>
            <w:pPr>
              <w:spacing w:after="0"/>
            </w:pPr>
            <w:r>
              <w:rPr>
                <w:rFonts w:ascii="Arial" w:hAnsi="Arial"/>
                <w:b/>
                <w:sz w:val="16"/>
              </w:rPr>
              <w:t>Outer validation</w:t>
            </w:r>
          </w:p>
        </w:tc>
        <w:tc>
          <w:tcPr>
            <w:tcW w:type="dxa" w:w="2381"/>
            <w:tcMar>
              <w:top w:w="75" w:type="dxa"/>
              <w:start w:w="80" w:type="dxa"/>
              <w:bottom w:w="75" w:type="dxa"/>
              <w:end w:w="80" w:type="dxa"/>
            </w:tcMar>
            <w:vAlign w:val="top"/>
          </w:tcPr>
          <w:p>
            <w:pPr>
              <w:spacing w:after="0"/>
            </w:pPr>
            <w:r>
              <w:rPr>
                <w:rFonts w:ascii="Arial" w:hAnsi="Arial"/>
                <w:b w:val="0"/>
                <w:sz w:val="16"/>
              </w:rPr>
              <w:t>Months 13-15</w:t>
            </w:r>
          </w:p>
        </w:tc>
        <w:tc>
          <w:tcPr>
            <w:tcW w:type="dxa" w:w="5556"/>
            <w:tcMar>
              <w:top w:w="75" w:type="dxa"/>
              <w:start w:w="80" w:type="dxa"/>
              <w:bottom w:w="75" w:type="dxa"/>
              <w:end w:w="80" w:type="dxa"/>
            </w:tcMar>
            <w:vAlign w:val="top"/>
          </w:tcPr>
          <w:p>
            <w:pPr>
              <w:spacing w:after="0"/>
            </w:pPr>
            <w:r>
              <w:rPr>
                <w:rFonts w:ascii="Arial" w:hAnsi="Arial"/>
                <w:b w:val="0"/>
                <w:sz w:val="16"/>
              </w:rPr>
              <w:t>Choose between research pipelines and confirm stability.</w:t>
            </w:r>
          </w:p>
        </w:tc>
      </w:tr>
      <w:tr>
        <w:tc>
          <w:tcPr>
            <w:tcW w:type="dxa" w:w="1814"/>
            <w:tcMar>
              <w:top w:w="75" w:type="dxa"/>
              <w:start w:w="80" w:type="dxa"/>
              <w:bottom w:w="75" w:type="dxa"/>
              <w:end w:w="80" w:type="dxa"/>
            </w:tcMar>
            <w:vAlign w:val="top"/>
          </w:tcPr>
          <w:p>
            <w:pPr>
              <w:spacing w:after="0"/>
            </w:pPr>
            <w:r>
              <w:rPr>
                <w:rFonts w:ascii="Arial" w:hAnsi="Arial"/>
                <w:b/>
                <w:sz w:val="16"/>
              </w:rPr>
              <w:t>Final test</w:t>
            </w:r>
          </w:p>
        </w:tc>
        <w:tc>
          <w:tcPr>
            <w:tcW w:type="dxa" w:w="2381"/>
            <w:tcMar>
              <w:top w:w="75" w:type="dxa"/>
              <w:start w:w="80" w:type="dxa"/>
              <w:bottom w:w="75" w:type="dxa"/>
              <w:end w:w="80" w:type="dxa"/>
            </w:tcMar>
            <w:vAlign w:val="top"/>
          </w:tcPr>
          <w:p>
            <w:pPr>
              <w:spacing w:after="0"/>
            </w:pPr>
            <w:r>
              <w:rPr>
                <w:rFonts w:ascii="Arial" w:hAnsi="Arial"/>
                <w:b w:val="0"/>
                <w:sz w:val="16"/>
              </w:rPr>
              <w:t>Months 16-18</w:t>
            </w:r>
          </w:p>
        </w:tc>
        <w:tc>
          <w:tcPr>
            <w:tcW w:type="dxa" w:w="5556"/>
            <w:tcMar>
              <w:top w:w="75" w:type="dxa"/>
              <w:start w:w="80" w:type="dxa"/>
              <w:bottom w:w="75" w:type="dxa"/>
              <w:end w:w="80" w:type="dxa"/>
            </w:tcMar>
            <w:vAlign w:val="top"/>
          </w:tcPr>
          <w:p>
            <w:pPr>
              <w:spacing w:after="0"/>
            </w:pPr>
            <w:r>
              <w:rPr>
                <w:rFonts w:ascii="Arial" w:hAnsi="Arial"/>
                <w:b w:val="0"/>
                <w:sz w:val="16"/>
              </w:rPr>
              <w:t>One-time estimate of the frozen research process.</w:t>
            </w:r>
          </w:p>
        </w:tc>
      </w:tr>
      <w:tr>
        <w:tc>
          <w:tcPr>
            <w:tcW w:type="dxa" w:w="1814"/>
            <w:tcMar>
              <w:top w:w="75" w:type="dxa"/>
              <w:start w:w="80" w:type="dxa"/>
              <w:bottom w:w="75" w:type="dxa"/>
              <w:end w:w="80" w:type="dxa"/>
            </w:tcMar>
            <w:vAlign w:val="top"/>
          </w:tcPr>
          <w:p>
            <w:pPr>
              <w:spacing w:after="0"/>
            </w:pPr>
            <w:r>
              <w:rPr>
                <w:rFonts w:ascii="Arial" w:hAnsi="Arial"/>
                <w:b/>
                <w:sz w:val="16"/>
              </w:rPr>
              <w:t>Stress tests</w:t>
            </w:r>
          </w:p>
        </w:tc>
        <w:tc>
          <w:tcPr>
            <w:tcW w:type="dxa" w:w="2381"/>
            <w:tcMar>
              <w:top w:w="75" w:type="dxa"/>
              <w:start w:w="80" w:type="dxa"/>
              <w:bottom w:w="75" w:type="dxa"/>
              <w:end w:w="80" w:type="dxa"/>
            </w:tcMar>
            <w:vAlign w:val="top"/>
          </w:tcPr>
          <w:p>
            <w:pPr>
              <w:spacing w:after="0"/>
            </w:pPr>
            <w:r>
              <w:rPr>
                <w:rFonts w:ascii="Arial" w:hAnsi="Arial"/>
                <w:b w:val="0"/>
                <w:sz w:val="16"/>
              </w:rPr>
              <w:t>Final test variants</w:t>
            </w:r>
          </w:p>
        </w:tc>
        <w:tc>
          <w:tcPr>
            <w:tcW w:type="dxa" w:w="5556"/>
            <w:tcMar>
              <w:top w:w="75" w:type="dxa"/>
              <w:start w:w="80" w:type="dxa"/>
              <w:bottom w:w="75" w:type="dxa"/>
              <w:end w:w="80" w:type="dxa"/>
            </w:tcMar>
            <w:vAlign w:val="top"/>
          </w:tcPr>
          <w:p>
            <w:pPr>
              <w:spacing w:after="0"/>
            </w:pPr>
            <w:r>
              <w:rPr>
                <w:rFonts w:ascii="Arial" w:hAnsi="Arial"/>
                <w:b w:val="0"/>
                <w:sz w:val="16"/>
              </w:rPr>
              <w:t>Add latency, widen spread/costs, remove venues, alter stale-quote filters.</w:t>
            </w:r>
          </w:p>
        </w:tc>
      </w:tr>
    </w:tbl>
    <w:p>
      <w:pPr>
        <w:spacing w:after="0"/>
      </w:pPr>
    </w:p>
    <w:p>
      <w:pPr>
        <w:pStyle w:val="Heading2"/>
        <w:keepNext/>
        <w:spacing w:before="160" w:after="100"/>
      </w:pPr>
      <w:r>
        <w:rPr>
          <w:rFonts w:ascii="Arial" w:hAnsi="Arial"/>
          <w:b/>
          <w:sz w:val="25"/>
        </w:rPr>
        <w:t>1.14 Illustrative model results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ILLUSTRATIVE RESULT</w:t>
            </w:r>
          </w:p>
          <w:p>
            <w:pPr>
              <w:spacing w:after="0"/>
            </w:pPr>
            <w:r>
              <w:rPr>
                <w:rFonts w:ascii="Arial" w:hAnsi="Arial"/>
                <w:sz w:val="18"/>
              </w:rPr>
              <w:t>The numbers below are deliberately modest. At very short horizons, a credible model often has small predictive correlations and only slightly better-than-random directional accuracy. Large, stable headline accuracy would be a reason to investigate leakage.</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07"/>
        <w:gridCol w:w="2007"/>
        <w:gridCol w:w="2007"/>
        <w:gridCol w:w="2007"/>
        <w:gridCol w:w="2007"/>
      </w:tblGrid>
      <w:tr>
        <w:trPr>
          <w:tblHeader w:val="true"/>
        </w:trPr>
        <w:tc>
          <w:tcPr>
            <w:tcW w:type="dxa" w:w="2098"/>
            <w:shd w:fill="D9E1F2"/>
            <w:tcMar>
              <w:top w:w="80" w:type="dxa"/>
              <w:start w:w="80" w:type="dxa"/>
              <w:bottom w:w="80" w:type="dxa"/>
              <w:end w:w="80" w:type="dxa"/>
            </w:tcMar>
            <w:vAlign w:val="center"/>
          </w:tcPr>
          <w:p>
            <w:pPr>
              <w:jc w:val="left"/>
            </w:pPr>
            <w:r>
              <w:rPr>
                <w:rFonts w:ascii="Arial" w:hAnsi="Arial"/>
                <w:b/>
                <w:sz w:val="15"/>
              </w:rPr>
              <w:t>Model</w:t>
            </w:r>
          </w:p>
        </w:tc>
        <w:tc>
          <w:tcPr>
            <w:tcW w:type="dxa" w:w="1247"/>
            <w:shd w:fill="D9E1F2"/>
            <w:tcMar>
              <w:top w:w="80" w:type="dxa"/>
              <w:start w:w="80" w:type="dxa"/>
              <w:bottom w:w="80" w:type="dxa"/>
              <w:end w:w="80" w:type="dxa"/>
            </w:tcMar>
            <w:vAlign w:val="center"/>
          </w:tcPr>
          <w:p>
            <w:pPr>
              <w:jc w:val="left"/>
            </w:pPr>
            <w:r>
              <w:rPr>
                <w:rFonts w:ascii="Arial" w:hAnsi="Arial"/>
                <w:b/>
                <w:sz w:val="15"/>
              </w:rPr>
              <w:t>RMSE (bp)</w:t>
            </w:r>
          </w:p>
        </w:tc>
        <w:tc>
          <w:tcPr>
            <w:tcW w:type="dxa" w:w="1814"/>
            <w:shd w:fill="D9E1F2"/>
            <w:tcMar>
              <w:top w:w="80" w:type="dxa"/>
              <w:start w:w="80" w:type="dxa"/>
              <w:bottom w:w="80" w:type="dxa"/>
              <w:end w:w="80" w:type="dxa"/>
            </w:tcMar>
            <w:vAlign w:val="center"/>
          </w:tcPr>
          <w:p>
            <w:pPr>
              <w:jc w:val="left"/>
            </w:pPr>
            <w:r>
              <w:rPr>
                <w:rFonts w:ascii="Arial" w:hAnsi="Arial"/>
                <w:b/>
                <w:sz w:val="15"/>
              </w:rPr>
              <w:t>IC: corr(pred, realised)</w:t>
            </w:r>
          </w:p>
        </w:tc>
        <w:tc>
          <w:tcPr>
            <w:tcW w:type="dxa" w:w="1644"/>
            <w:shd w:fill="D9E1F2"/>
            <w:tcMar>
              <w:top w:w="80" w:type="dxa"/>
              <w:start w:w="80" w:type="dxa"/>
              <w:bottom w:w="80" w:type="dxa"/>
              <w:end w:w="80" w:type="dxa"/>
            </w:tcMar>
            <w:vAlign w:val="center"/>
          </w:tcPr>
          <w:p>
            <w:pPr>
              <w:jc w:val="left"/>
            </w:pPr>
            <w:r>
              <w:rPr>
                <w:rFonts w:ascii="Arial" w:hAnsi="Arial"/>
                <w:b/>
                <w:sz w:val="15"/>
              </w:rPr>
              <w:t>Directional accuracy</w:t>
            </w:r>
          </w:p>
        </w:tc>
        <w:tc>
          <w:tcPr>
            <w:tcW w:type="dxa" w:w="2948"/>
            <w:shd w:fill="D9E1F2"/>
            <w:tcMar>
              <w:top w:w="80" w:type="dxa"/>
              <w:start w:w="80" w:type="dxa"/>
              <w:bottom w:w="80" w:type="dxa"/>
              <w:end w:w="80" w:type="dxa"/>
            </w:tcMar>
            <w:vAlign w:val="center"/>
          </w:tcPr>
          <w:p>
            <w:pPr>
              <w:jc w:val="left"/>
            </w:pPr>
            <w:r>
              <w:rPr>
                <w:rFonts w:ascii="Arial" w:hAnsi="Arial"/>
                <w:b/>
                <w:sz w:val="15"/>
              </w:rPr>
              <w:t>Interpretation</w:t>
            </w:r>
          </w:p>
        </w:tc>
      </w:tr>
      <w:tr>
        <w:tc>
          <w:tcPr>
            <w:tcW w:type="dxa" w:w="2098"/>
            <w:tcMar>
              <w:top w:w="75" w:type="dxa"/>
              <w:start w:w="80" w:type="dxa"/>
              <w:bottom w:w="75" w:type="dxa"/>
              <w:end w:w="80" w:type="dxa"/>
            </w:tcMar>
            <w:vAlign w:val="top"/>
          </w:tcPr>
          <w:p>
            <w:pPr>
              <w:spacing w:after="0"/>
            </w:pPr>
            <w:r>
              <w:rPr>
                <w:rFonts w:ascii="Arial" w:hAnsi="Arial"/>
                <w:b/>
                <w:sz w:val="15"/>
              </w:rPr>
              <w:t>Zero-return baseline</w:t>
            </w:r>
          </w:p>
        </w:tc>
        <w:tc>
          <w:tcPr>
            <w:tcW w:type="dxa" w:w="1247"/>
            <w:tcMar>
              <w:top w:w="75" w:type="dxa"/>
              <w:start w:w="80" w:type="dxa"/>
              <w:bottom w:w="75" w:type="dxa"/>
              <w:end w:w="80" w:type="dxa"/>
            </w:tcMar>
            <w:vAlign w:val="top"/>
          </w:tcPr>
          <w:p>
            <w:pPr>
              <w:spacing w:after="0"/>
            </w:pPr>
            <w:r>
              <w:rPr>
                <w:rFonts w:ascii="Arial" w:hAnsi="Arial"/>
                <w:b w:val="0"/>
                <w:sz w:val="15"/>
              </w:rPr>
              <w:t>1.84</w:t>
            </w:r>
          </w:p>
        </w:tc>
        <w:tc>
          <w:tcPr>
            <w:tcW w:type="dxa" w:w="1814"/>
            <w:tcMar>
              <w:top w:w="75" w:type="dxa"/>
              <w:start w:w="80" w:type="dxa"/>
              <w:bottom w:w="75" w:type="dxa"/>
              <w:end w:w="80" w:type="dxa"/>
            </w:tcMar>
            <w:vAlign w:val="top"/>
          </w:tcPr>
          <w:p>
            <w:pPr>
              <w:spacing w:after="0"/>
            </w:pPr>
            <w:r>
              <w:rPr>
                <w:rFonts w:ascii="Arial" w:hAnsi="Arial"/>
                <w:b w:val="0"/>
                <w:sz w:val="15"/>
              </w:rPr>
              <w:t>0.000</w:t>
            </w:r>
          </w:p>
        </w:tc>
        <w:tc>
          <w:tcPr>
            <w:tcW w:type="dxa" w:w="1644"/>
            <w:tcMar>
              <w:top w:w="75" w:type="dxa"/>
              <w:start w:w="80" w:type="dxa"/>
              <w:bottom w:w="75" w:type="dxa"/>
              <w:end w:w="80" w:type="dxa"/>
            </w:tcMar>
            <w:vAlign w:val="top"/>
          </w:tcPr>
          <w:p>
            <w:pPr>
              <w:spacing w:after="0"/>
            </w:pPr>
            <w:r>
              <w:rPr>
                <w:rFonts w:ascii="Arial" w:hAnsi="Arial"/>
                <w:b w:val="0"/>
                <w:sz w:val="15"/>
              </w:rPr>
              <w:t>50.0%</w:t>
            </w:r>
          </w:p>
        </w:tc>
        <w:tc>
          <w:tcPr>
            <w:tcW w:type="dxa" w:w="2948"/>
            <w:tcMar>
              <w:top w:w="75" w:type="dxa"/>
              <w:start w:w="80" w:type="dxa"/>
              <w:bottom w:w="75" w:type="dxa"/>
              <w:end w:w="80" w:type="dxa"/>
            </w:tcMar>
            <w:vAlign w:val="top"/>
          </w:tcPr>
          <w:p>
            <w:pPr>
              <w:spacing w:after="0"/>
            </w:pPr>
            <w:r>
              <w:rPr>
                <w:rFonts w:ascii="Arial" w:hAnsi="Arial"/>
                <w:b w:val="0"/>
                <w:sz w:val="15"/>
              </w:rPr>
              <w:t>Reference.</w:t>
            </w:r>
          </w:p>
        </w:tc>
      </w:tr>
      <w:tr>
        <w:tc>
          <w:tcPr>
            <w:tcW w:type="dxa" w:w="2098"/>
            <w:tcMar>
              <w:top w:w="75" w:type="dxa"/>
              <w:start w:w="80" w:type="dxa"/>
              <w:bottom w:w="75" w:type="dxa"/>
              <w:end w:w="80" w:type="dxa"/>
            </w:tcMar>
            <w:vAlign w:val="top"/>
          </w:tcPr>
          <w:p>
            <w:pPr>
              <w:spacing w:after="0"/>
            </w:pPr>
            <w:r>
              <w:rPr>
                <w:rFonts w:ascii="Arial" w:hAnsi="Arial"/>
                <w:b/>
                <w:sz w:val="15"/>
              </w:rPr>
              <w:t>Recent momentum</w:t>
            </w:r>
          </w:p>
        </w:tc>
        <w:tc>
          <w:tcPr>
            <w:tcW w:type="dxa" w:w="1247"/>
            <w:tcMar>
              <w:top w:w="75" w:type="dxa"/>
              <w:start w:w="80" w:type="dxa"/>
              <w:bottom w:w="75" w:type="dxa"/>
              <w:end w:w="80" w:type="dxa"/>
            </w:tcMar>
            <w:vAlign w:val="top"/>
          </w:tcPr>
          <w:p>
            <w:pPr>
              <w:spacing w:after="0"/>
            </w:pPr>
            <w:r>
              <w:rPr>
                <w:rFonts w:ascii="Arial" w:hAnsi="Arial"/>
                <w:b w:val="0"/>
                <w:sz w:val="15"/>
              </w:rPr>
              <w:t>1.82</w:t>
            </w:r>
          </w:p>
        </w:tc>
        <w:tc>
          <w:tcPr>
            <w:tcW w:type="dxa" w:w="1814"/>
            <w:tcMar>
              <w:top w:w="75" w:type="dxa"/>
              <w:start w:w="80" w:type="dxa"/>
              <w:bottom w:w="75" w:type="dxa"/>
              <w:end w:w="80" w:type="dxa"/>
            </w:tcMar>
            <w:vAlign w:val="top"/>
          </w:tcPr>
          <w:p>
            <w:pPr>
              <w:spacing w:after="0"/>
            </w:pPr>
            <w:r>
              <w:rPr>
                <w:rFonts w:ascii="Arial" w:hAnsi="Arial"/>
                <w:b w:val="0"/>
                <w:sz w:val="15"/>
              </w:rPr>
              <w:t>0.011</w:t>
            </w:r>
          </w:p>
        </w:tc>
        <w:tc>
          <w:tcPr>
            <w:tcW w:type="dxa" w:w="1644"/>
            <w:tcMar>
              <w:top w:w="75" w:type="dxa"/>
              <w:start w:w="80" w:type="dxa"/>
              <w:bottom w:w="75" w:type="dxa"/>
              <w:end w:w="80" w:type="dxa"/>
            </w:tcMar>
            <w:vAlign w:val="top"/>
          </w:tcPr>
          <w:p>
            <w:pPr>
              <w:spacing w:after="0"/>
            </w:pPr>
            <w:r>
              <w:rPr>
                <w:rFonts w:ascii="Arial" w:hAnsi="Arial"/>
                <w:b w:val="0"/>
                <w:sz w:val="15"/>
              </w:rPr>
              <w:t>50.7%</w:t>
            </w:r>
          </w:p>
        </w:tc>
        <w:tc>
          <w:tcPr>
            <w:tcW w:type="dxa" w:w="2948"/>
            <w:tcMar>
              <w:top w:w="75" w:type="dxa"/>
              <w:start w:w="80" w:type="dxa"/>
              <w:bottom w:w="75" w:type="dxa"/>
              <w:end w:w="80" w:type="dxa"/>
            </w:tcMar>
            <w:vAlign w:val="top"/>
          </w:tcPr>
          <w:p>
            <w:pPr>
              <w:spacing w:after="0"/>
            </w:pPr>
            <w:r>
              <w:rPr>
                <w:rFonts w:ascii="Arial" w:hAnsi="Arial"/>
                <w:b w:val="0"/>
                <w:sz w:val="15"/>
              </w:rPr>
              <w:t>Weak public signal.</w:t>
            </w:r>
          </w:p>
        </w:tc>
      </w:tr>
      <w:tr>
        <w:tc>
          <w:tcPr>
            <w:tcW w:type="dxa" w:w="2098"/>
            <w:tcMar>
              <w:top w:w="75" w:type="dxa"/>
              <w:start w:w="80" w:type="dxa"/>
              <w:bottom w:w="75" w:type="dxa"/>
              <w:end w:w="80" w:type="dxa"/>
            </w:tcMar>
            <w:vAlign w:val="top"/>
          </w:tcPr>
          <w:p>
            <w:pPr>
              <w:spacing w:after="0"/>
            </w:pPr>
            <w:r>
              <w:rPr>
                <w:rFonts w:ascii="Arial" w:hAnsi="Arial"/>
                <w:b/>
                <w:sz w:val="15"/>
              </w:rPr>
              <w:t>Market-only ElasticNet</w:t>
            </w:r>
          </w:p>
        </w:tc>
        <w:tc>
          <w:tcPr>
            <w:tcW w:type="dxa" w:w="1247"/>
            <w:tcMar>
              <w:top w:w="75" w:type="dxa"/>
              <w:start w:w="80" w:type="dxa"/>
              <w:bottom w:w="75" w:type="dxa"/>
              <w:end w:w="80" w:type="dxa"/>
            </w:tcMar>
            <w:vAlign w:val="top"/>
          </w:tcPr>
          <w:p>
            <w:pPr>
              <w:spacing w:after="0"/>
            </w:pPr>
            <w:r>
              <w:rPr>
                <w:rFonts w:ascii="Arial" w:hAnsi="Arial"/>
                <w:b w:val="0"/>
                <w:sz w:val="15"/>
              </w:rPr>
              <w:t>1.79</w:t>
            </w:r>
          </w:p>
        </w:tc>
        <w:tc>
          <w:tcPr>
            <w:tcW w:type="dxa" w:w="1814"/>
            <w:tcMar>
              <w:top w:w="75" w:type="dxa"/>
              <w:start w:w="80" w:type="dxa"/>
              <w:bottom w:w="75" w:type="dxa"/>
              <w:end w:w="80" w:type="dxa"/>
            </w:tcMar>
            <w:vAlign w:val="top"/>
          </w:tcPr>
          <w:p>
            <w:pPr>
              <w:spacing w:after="0"/>
            </w:pPr>
            <w:r>
              <w:rPr>
                <w:rFonts w:ascii="Arial" w:hAnsi="Arial"/>
                <w:b w:val="0"/>
                <w:sz w:val="15"/>
              </w:rPr>
              <w:t>0.021</w:t>
            </w:r>
          </w:p>
        </w:tc>
        <w:tc>
          <w:tcPr>
            <w:tcW w:type="dxa" w:w="1644"/>
            <w:tcMar>
              <w:top w:w="75" w:type="dxa"/>
              <w:start w:w="80" w:type="dxa"/>
              <w:bottom w:w="75" w:type="dxa"/>
              <w:end w:w="80" w:type="dxa"/>
            </w:tcMar>
            <w:vAlign w:val="top"/>
          </w:tcPr>
          <w:p>
            <w:pPr>
              <w:spacing w:after="0"/>
            </w:pPr>
            <w:r>
              <w:rPr>
                <w:rFonts w:ascii="Arial" w:hAnsi="Arial"/>
                <w:b w:val="0"/>
                <w:sz w:val="15"/>
              </w:rPr>
              <w:t>51.6%</w:t>
            </w:r>
          </w:p>
        </w:tc>
        <w:tc>
          <w:tcPr>
            <w:tcW w:type="dxa" w:w="2948"/>
            <w:tcMar>
              <w:top w:w="75" w:type="dxa"/>
              <w:start w:w="80" w:type="dxa"/>
              <w:bottom w:w="75" w:type="dxa"/>
              <w:end w:w="80" w:type="dxa"/>
            </w:tcMar>
            <w:vAlign w:val="top"/>
          </w:tcPr>
          <w:p>
            <w:pPr>
              <w:spacing w:after="0"/>
            </w:pPr>
            <w:r>
              <w:rPr>
                <w:rFonts w:ascii="Arial" w:hAnsi="Arial"/>
                <w:b w:val="0"/>
                <w:sz w:val="15"/>
              </w:rPr>
              <w:t>Public microstructure has modest edge.</w:t>
            </w:r>
          </w:p>
        </w:tc>
      </w:tr>
      <w:tr>
        <w:tc>
          <w:tcPr>
            <w:tcW w:type="dxa" w:w="2098"/>
            <w:tcMar>
              <w:top w:w="75" w:type="dxa"/>
              <w:start w:w="80" w:type="dxa"/>
              <w:bottom w:w="75" w:type="dxa"/>
              <w:end w:w="80" w:type="dxa"/>
            </w:tcMar>
            <w:vAlign w:val="top"/>
          </w:tcPr>
          <w:p>
            <w:pPr>
              <w:spacing w:after="0"/>
            </w:pPr>
            <w:r>
              <w:rPr>
                <w:rFonts w:ascii="Arial" w:hAnsi="Arial"/>
                <w:b/>
                <w:sz w:val="15"/>
              </w:rPr>
              <w:t>Market + client-flow ElasticNet</w:t>
            </w:r>
          </w:p>
        </w:tc>
        <w:tc>
          <w:tcPr>
            <w:tcW w:type="dxa" w:w="1247"/>
            <w:tcMar>
              <w:top w:w="75" w:type="dxa"/>
              <w:start w:w="80" w:type="dxa"/>
              <w:bottom w:w="75" w:type="dxa"/>
              <w:end w:w="80" w:type="dxa"/>
            </w:tcMar>
            <w:vAlign w:val="top"/>
          </w:tcPr>
          <w:p>
            <w:pPr>
              <w:spacing w:after="0"/>
            </w:pPr>
            <w:r>
              <w:rPr>
                <w:rFonts w:ascii="Arial" w:hAnsi="Arial"/>
                <w:b w:val="0"/>
                <w:sz w:val="15"/>
              </w:rPr>
              <w:t>1.76</w:t>
            </w:r>
          </w:p>
        </w:tc>
        <w:tc>
          <w:tcPr>
            <w:tcW w:type="dxa" w:w="1814"/>
            <w:tcMar>
              <w:top w:w="75" w:type="dxa"/>
              <w:start w:w="80" w:type="dxa"/>
              <w:bottom w:w="75" w:type="dxa"/>
              <w:end w:w="80" w:type="dxa"/>
            </w:tcMar>
            <w:vAlign w:val="top"/>
          </w:tcPr>
          <w:p>
            <w:pPr>
              <w:spacing w:after="0"/>
            </w:pPr>
            <w:r>
              <w:rPr>
                <w:rFonts w:ascii="Arial" w:hAnsi="Arial"/>
                <w:b w:val="0"/>
                <w:sz w:val="15"/>
              </w:rPr>
              <w:t>0.030</w:t>
            </w:r>
          </w:p>
        </w:tc>
        <w:tc>
          <w:tcPr>
            <w:tcW w:type="dxa" w:w="1644"/>
            <w:tcMar>
              <w:top w:w="75" w:type="dxa"/>
              <w:start w:w="80" w:type="dxa"/>
              <w:bottom w:w="75" w:type="dxa"/>
              <w:end w:w="80" w:type="dxa"/>
            </w:tcMar>
            <w:vAlign w:val="top"/>
          </w:tcPr>
          <w:p>
            <w:pPr>
              <w:spacing w:after="0"/>
            </w:pPr>
            <w:r>
              <w:rPr>
                <w:rFonts w:ascii="Arial" w:hAnsi="Arial"/>
                <w:b w:val="0"/>
                <w:sz w:val="15"/>
              </w:rPr>
              <w:t>52.1%</w:t>
            </w:r>
          </w:p>
        </w:tc>
        <w:tc>
          <w:tcPr>
            <w:tcW w:type="dxa" w:w="2948"/>
            <w:tcMar>
              <w:top w:w="75" w:type="dxa"/>
              <w:start w:w="80" w:type="dxa"/>
              <w:bottom w:w="75" w:type="dxa"/>
              <w:end w:w="80" w:type="dxa"/>
            </w:tcMar>
            <w:vAlign w:val="top"/>
          </w:tcPr>
          <w:p>
            <w:pPr>
              <w:spacing w:after="0"/>
            </w:pPr>
            <w:r>
              <w:rPr>
                <w:rFonts w:ascii="Arial" w:hAnsi="Arial"/>
                <w:b w:val="0"/>
                <w:sz w:val="15"/>
              </w:rPr>
              <w:t>Proprietary flow adds incremental information.</w:t>
            </w:r>
          </w:p>
        </w:tc>
      </w:tr>
      <w:tr>
        <w:tc>
          <w:tcPr>
            <w:tcW w:type="dxa" w:w="2098"/>
            <w:tcMar>
              <w:top w:w="75" w:type="dxa"/>
              <w:start w:w="80" w:type="dxa"/>
              <w:bottom w:w="75" w:type="dxa"/>
              <w:end w:w="80" w:type="dxa"/>
            </w:tcMar>
            <w:vAlign w:val="top"/>
          </w:tcPr>
          <w:p>
            <w:pPr>
              <w:spacing w:after="0"/>
            </w:pPr>
            <w:r>
              <w:rPr>
                <w:rFonts w:ascii="Arial" w:hAnsi="Arial"/>
                <w:b/>
                <w:sz w:val="15"/>
              </w:rPr>
              <w:t>GBT challenger</w:t>
            </w:r>
          </w:p>
        </w:tc>
        <w:tc>
          <w:tcPr>
            <w:tcW w:type="dxa" w:w="1247"/>
            <w:tcMar>
              <w:top w:w="75" w:type="dxa"/>
              <w:start w:w="80" w:type="dxa"/>
              <w:bottom w:w="75" w:type="dxa"/>
              <w:end w:w="80" w:type="dxa"/>
            </w:tcMar>
            <w:vAlign w:val="top"/>
          </w:tcPr>
          <w:p>
            <w:pPr>
              <w:spacing w:after="0"/>
            </w:pPr>
            <w:r>
              <w:rPr>
                <w:rFonts w:ascii="Arial" w:hAnsi="Arial"/>
                <w:b w:val="0"/>
                <w:sz w:val="15"/>
              </w:rPr>
              <w:t>1.75</w:t>
            </w:r>
          </w:p>
        </w:tc>
        <w:tc>
          <w:tcPr>
            <w:tcW w:type="dxa" w:w="1814"/>
            <w:tcMar>
              <w:top w:w="75" w:type="dxa"/>
              <w:start w:w="80" w:type="dxa"/>
              <w:bottom w:w="75" w:type="dxa"/>
              <w:end w:w="80" w:type="dxa"/>
            </w:tcMar>
            <w:vAlign w:val="top"/>
          </w:tcPr>
          <w:p>
            <w:pPr>
              <w:spacing w:after="0"/>
            </w:pPr>
            <w:r>
              <w:rPr>
                <w:rFonts w:ascii="Arial" w:hAnsi="Arial"/>
                <w:b w:val="0"/>
                <w:sz w:val="15"/>
              </w:rPr>
              <w:t>0.032</w:t>
            </w:r>
          </w:p>
        </w:tc>
        <w:tc>
          <w:tcPr>
            <w:tcW w:type="dxa" w:w="1644"/>
            <w:tcMar>
              <w:top w:w="75" w:type="dxa"/>
              <w:start w:w="80" w:type="dxa"/>
              <w:bottom w:w="75" w:type="dxa"/>
              <w:end w:w="80" w:type="dxa"/>
            </w:tcMar>
            <w:vAlign w:val="top"/>
          </w:tcPr>
          <w:p>
            <w:pPr>
              <w:spacing w:after="0"/>
            </w:pPr>
            <w:r>
              <w:rPr>
                <w:rFonts w:ascii="Arial" w:hAnsi="Arial"/>
                <w:b w:val="0"/>
                <w:sz w:val="15"/>
              </w:rPr>
              <w:t>52.3%</w:t>
            </w:r>
          </w:p>
        </w:tc>
        <w:tc>
          <w:tcPr>
            <w:tcW w:type="dxa" w:w="2948"/>
            <w:tcMar>
              <w:top w:w="75" w:type="dxa"/>
              <w:start w:w="80" w:type="dxa"/>
              <w:bottom w:w="75" w:type="dxa"/>
              <w:end w:w="80" w:type="dxa"/>
            </w:tcMar>
            <w:vAlign w:val="top"/>
          </w:tcPr>
          <w:p>
            <w:pPr>
              <w:spacing w:after="0"/>
            </w:pPr>
            <w:r>
              <w:rPr>
                <w:rFonts w:ascii="Arial" w:hAnsi="Arial"/>
                <w:b w:val="0"/>
                <w:sz w:val="15"/>
              </w:rPr>
              <w:t>Some nonlinear interaction value.</w:t>
            </w:r>
          </w:p>
        </w:tc>
      </w:tr>
      <w:tr>
        <w:tc>
          <w:tcPr>
            <w:tcW w:type="dxa" w:w="2098"/>
            <w:tcMar>
              <w:top w:w="75" w:type="dxa"/>
              <w:start w:w="80" w:type="dxa"/>
              <w:bottom w:w="75" w:type="dxa"/>
              <w:end w:w="80" w:type="dxa"/>
            </w:tcMar>
            <w:vAlign w:val="top"/>
          </w:tcPr>
          <w:p>
            <w:pPr>
              <w:spacing w:after="0"/>
            </w:pPr>
            <w:r>
              <w:rPr>
                <w:rFonts w:ascii="Arial" w:hAnsi="Arial"/>
                <w:b/>
                <w:sz w:val="15"/>
              </w:rPr>
              <w:t>OOS stack</w:t>
            </w:r>
          </w:p>
        </w:tc>
        <w:tc>
          <w:tcPr>
            <w:tcW w:type="dxa" w:w="1247"/>
            <w:tcMar>
              <w:top w:w="75" w:type="dxa"/>
              <w:start w:w="80" w:type="dxa"/>
              <w:bottom w:w="75" w:type="dxa"/>
              <w:end w:w="80" w:type="dxa"/>
            </w:tcMar>
            <w:vAlign w:val="top"/>
          </w:tcPr>
          <w:p>
            <w:pPr>
              <w:spacing w:after="0"/>
            </w:pPr>
            <w:r>
              <w:rPr>
                <w:rFonts w:ascii="Arial" w:hAnsi="Arial"/>
                <w:b w:val="0"/>
                <w:sz w:val="15"/>
              </w:rPr>
              <w:t>1.74</w:t>
            </w:r>
          </w:p>
        </w:tc>
        <w:tc>
          <w:tcPr>
            <w:tcW w:type="dxa" w:w="1814"/>
            <w:tcMar>
              <w:top w:w="75" w:type="dxa"/>
              <w:start w:w="80" w:type="dxa"/>
              <w:bottom w:w="75" w:type="dxa"/>
              <w:end w:w="80" w:type="dxa"/>
            </w:tcMar>
            <w:vAlign w:val="top"/>
          </w:tcPr>
          <w:p>
            <w:pPr>
              <w:spacing w:after="0"/>
            </w:pPr>
            <w:r>
              <w:rPr>
                <w:rFonts w:ascii="Arial" w:hAnsi="Arial"/>
                <w:b w:val="0"/>
                <w:sz w:val="15"/>
              </w:rPr>
              <w:t>0.035</w:t>
            </w:r>
          </w:p>
        </w:tc>
        <w:tc>
          <w:tcPr>
            <w:tcW w:type="dxa" w:w="1644"/>
            <w:tcMar>
              <w:top w:w="75" w:type="dxa"/>
              <w:start w:w="80" w:type="dxa"/>
              <w:bottom w:w="75" w:type="dxa"/>
              <w:end w:w="80" w:type="dxa"/>
            </w:tcMar>
            <w:vAlign w:val="top"/>
          </w:tcPr>
          <w:p>
            <w:pPr>
              <w:spacing w:after="0"/>
            </w:pPr>
            <w:r>
              <w:rPr>
                <w:rFonts w:ascii="Arial" w:hAnsi="Arial"/>
                <w:b w:val="0"/>
                <w:sz w:val="15"/>
              </w:rPr>
              <w:t>52.6%</w:t>
            </w:r>
          </w:p>
        </w:tc>
        <w:tc>
          <w:tcPr>
            <w:tcW w:type="dxa" w:w="2948"/>
            <w:tcMar>
              <w:top w:w="75" w:type="dxa"/>
              <w:start w:w="80" w:type="dxa"/>
              <w:bottom w:w="75" w:type="dxa"/>
              <w:end w:w="80" w:type="dxa"/>
            </w:tcMar>
            <w:vAlign w:val="top"/>
          </w:tcPr>
          <w:p>
            <w:pPr>
              <w:spacing w:after="0"/>
            </w:pPr>
            <w:r>
              <w:rPr>
                <w:rFonts w:ascii="Arial" w:hAnsi="Arial"/>
                <w:b w:val="0"/>
                <w:sz w:val="15"/>
              </w:rPr>
              <w:t>Small but repeatable incremental improvement.</w:t>
            </w:r>
          </w:p>
        </w:tc>
      </w:tr>
    </w:tbl>
    <w:p>
      <w:pPr>
        <w:spacing w:after="0"/>
      </w:pPr>
    </w:p>
    <w:p>
      <w:pPr>
        <w:pStyle w:val="Heading2"/>
        <w:keepNext/>
        <w:spacing w:before="160" w:after="100"/>
      </w:pPr>
      <w:r>
        <w:rPr>
          <w:rFonts w:ascii="Arial" w:hAnsi="Arial"/>
          <w:b/>
          <w:sz w:val="25"/>
        </w:rPr>
        <w:t>1.15 Feature ablation and incremental proprietary value</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3061"/>
            <w:shd w:fill="D9E1F2"/>
            <w:tcMar>
              <w:top w:w="80" w:type="dxa"/>
              <w:start w:w="80" w:type="dxa"/>
              <w:bottom w:w="80" w:type="dxa"/>
              <w:end w:w="80" w:type="dxa"/>
            </w:tcMar>
            <w:vAlign w:val="center"/>
          </w:tcPr>
          <w:p>
            <w:pPr>
              <w:jc w:val="left"/>
            </w:pPr>
            <w:r>
              <w:rPr>
                <w:rFonts w:ascii="Arial" w:hAnsi="Arial"/>
                <w:b/>
                <w:sz w:val="15"/>
              </w:rPr>
              <w:t>Feature set</w:t>
            </w:r>
          </w:p>
        </w:tc>
        <w:tc>
          <w:tcPr>
            <w:tcW w:type="dxa" w:w="1134"/>
            <w:shd w:fill="D9E1F2"/>
            <w:tcMar>
              <w:top w:w="80" w:type="dxa"/>
              <w:start w:w="80" w:type="dxa"/>
              <w:bottom w:w="80" w:type="dxa"/>
              <w:end w:w="80" w:type="dxa"/>
            </w:tcMar>
            <w:vAlign w:val="center"/>
          </w:tcPr>
          <w:p>
            <w:pPr>
              <w:jc w:val="left"/>
            </w:pPr>
            <w:r>
              <w:rPr>
                <w:rFonts w:ascii="Arial" w:hAnsi="Arial"/>
                <w:b/>
                <w:sz w:val="15"/>
              </w:rPr>
              <w:t>OOS IC</w:t>
            </w:r>
          </w:p>
        </w:tc>
        <w:tc>
          <w:tcPr>
            <w:tcW w:type="dxa" w:w="1134"/>
            <w:shd w:fill="D9E1F2"/>
            <w:tcMar>
              <w:top w:w="80" w:type="dxa"/>
              <w:start w:w="80" w:type="dxa"/>
              <w:bottom w:w="80" w:type="dxa"/>
              <w:end w:w="80" w:type="dxa"/>
            </w:tcMar>
            <w:vAlign w:val="center"/>
          </w:tcPr>
          <w:p>
            <w:pPr>
              <w:jc w:val="left"/>
            </w:pPr>
            <w:r>
              <w:rPr>
                <w:rFonts w:ascii="Arial" w:hAnsi="Arial"/>
                <w:b/>
                <w:sz w:val="15"/>
              </w:rPr>
              <w:t>Change</w:t>
            </w:r>
          </w:p>
        </w:tc>
        <w:tc>
          <w:tcPr>
            <w:tcW w:type="dxa" w:w="4422"/>
            <w:shd w:fill="D9E1F2"/>
            <w:tcMar>
              <w:top w:w="80" w:type="dxa"/>
              <w:start w:w="80" w:type="dxa"/>
              <w:bottom w:w="80" w:type="dxa"/>
              <w:end w:w="80" w:type="dxa"/>
            </w:tcMar>
            <w:vAlign w:val="center"/>
          </w:tcPr>
          <w:p>
            <w:pPr>
              <w:jc w:val="left"/>
            </w:pPr>
            <w:r>
              <w:rPr>
                <w:rFonts w:ascii="Arial" w:hAnsi="Arial"/>
                <w:b/>
                <w:sz w:val="15"/>
              </w:rPr>
              <w:t>Readout</w:t>
            </w:r>
          </w:p>
        </w:tc>
      </w:tr>
      <w:tr>
        <w:tc>
          <w:tcPr>
            <w:tcW w:type="dxa" w:w="3061"/>
            <w:tcMar>
              <w:top w:w="75" w:type="dxa"/>
              <w:start w:w="80" w:type="dxa"/>
              <w:bottom w:w="75" w:type="dxa"/>
              <w:end w:w="80" w:type="dxa"/>
            </w:tcMar>
            <w:vAlign w:val="top"/>
          </w:tcPr>
          <w:p>
            <w:pPr>
              <w:spacing w:after="0"/>
            </w:pPr>
            <w:r>
              <w:rPr>
                <w:rFonts w:ascii="Arial" w:hAnsi="Arial"/>
                <w:b/>
                <w:sz w:val="15"/>
              </w:rPr>
              <w:t>Recent return + spread + volatility</w:t>
            </w:r>
          </w:p>
        </w:tc>
        <w:tc>
          <w:tcPr>
            <w:tcW w:type="dxa" w:w="1134"/>
            <w:tcMar>
              <w:top w:w="75" w:type="dxa"/>
              <w:start w:w="80" w:type="dxa"/>
              <w:bottom w:w="75" w:type="dxa"/>
              <w:end w:w="80" w:type="dxa"/>
            </w:tcMar>
            <w:vAlign w:val="top"/>
          </w:tcPr>
          <w:p>
            <w:pPr>
              <w:spacing w:after="0"/>
            </w:pPr>
            <w:r>
              <w:rPr>
                <w:rFonts w:ascii="Arial" w:hAnsi="Arial"/>
                <w:b w:val="0"/>
                <w:sz w:val="15"/>
              </w:rPr>
              <w:t>0.014</w:t>
            </w:r>
          </w:p>
        </w:tc>
        <w:tc>
          <w:tcPr>
            <w:tcW w:type="dxa" w:w="1134"/>
            <w:tcMar>
              <w:top w:w="75" w:type="dxa"/>
              <w:start w:w="80" w:type="dxa"/>
              <w:bottom w:w="75" w:type="dxa"/>
              <w:end w:w="80" w:type="dxa"/>
            </w:tcMar>
            <w:vAlign w:val="top"/>
          </w:tcPr>
          <w:p>
            <w:pPr>
              <w:spacing w:after="0"/>
            </w:pPr>
            <w:r>
              <w:rPr>
                <w:rFonts w:ascii="Arial" w:hAnsi="Arial"/>
                <w:b w:val="0"/>
                <w:sz w:val="15"/>
              </w:rPr>
              <w:t>-</w:t>
            </w:r>
          </w:p>
        </w:tc>
        <w:tc>
          <w:tcPr>
            <w:tcW w:type="dxa" w:w="4422"/>
            <w:tcMar>
              <w:top w:w="75" w:type="dxa"/>
              <w:start w:w="80" w:type="dxa"/>
              <w:bottom w:w="75" w:type="dxa"/>
              <w:end w:w="80" w:type="dxa"/>
            </w:tcMar>
            <w:vAlign w:val="top"/>
          </w:tcPr>
          <w:p>
            <w:pPr>
              <w:spacing w:after="0"/>
            </w:pPr>
            <w:r>
              <w:rPr>
                <w:rFonts w:ascii="Arial" w:hAnsi="Arial"/>
                <w:b w:val="0"/>
                <w:sz w:val="15"/>
              </w:rPr>
              <w:t>Basic public baseline.</w:t>
            </w:r>
          </w:p>
        </w:tc>
      </w:tr>
      <w:tr>
        <w:tc>
          <w:tcPr>
            <w:tcW w:type="dxa" w:w="3061"/>
            <w:tcMar>
              <w:top w:w="75" w:type="dxa"/>
              <w:start w:w="80" w:type="dxa"/>
              <w:bottom w:w="75" w:type="dxa"/>
              <w:end w:w="80" w:type="dxa"/>
            </w:tcMar>
            <w:vAlign w:val="top"/>
          </w:tcPr>
          <w:p>
            <w:pPr>
              <w:spacing w:after="0"/>
            </w:pPr>
            <w:r>
              <w:rPr>
                <w:rFonts w:ascii="Arial" w:hAnsi="Arial"/>
                <w:b/>
                <w:sz w:val="15"/>
              </w:rPr>
              <w:t>+ order-book/depth features</w:t>
            </w:r>
          </w:p>
        </w:tc>
        <w:tc>
          <w:tcPr>
            <w:tcW w:type="dxa" w:w="1134"/>
            <w:tcMar>
              <w:top w:w="75" w:type="dxa"/>
              <w:start w:w="80" w:type="dxa"/>
              <w:bottom w:w="75" w:type="dxa"/>
              <w:end w:w="80" w:type="dxa"/>
            </w:tcMar>
            <w:vAlign w:val="top"/>
          </w:tcPr>
          <w:p>
            <w:pPr>
              <w:spacing w:after="0"/>
            </w:pPr>
            <w:r>
              <w:rPr>
                <w:rFonts w:ascii="Arial" w:hAnsi="Arial"/>
                <w:b w:val="0"/>
                <w:sz w:val="15"/>
              </w:rPr>
              <w:t>0.021</w:t>
            </w:r>
          </w:p>
        </w:tc>
        <w:tc>
          <w:tcPr>
            <w:tcW w:type="dxa" w:w="1134"/>
            <w:tcMar>
              <w:top w:w="75" w:type="dxa"/>
              <w:start w:w="80" w:type="dxa"/>
              <w:bottom w:w="75" w:type="dxa"/>
              <w:end w:w="80" w:type="dxa"/>
            </w:tcMar>
            <w:vAlign w:val="top"/>
          </w:tcPr>
          <w:p>
            <w:pPr>
              <w:spacing w:after="0"/>
            </w:pPr>
            <w:r>
              <w:rPr>
                <w:rFonts w:ascii="Arial" w:hAnsi="Arial"/>
                <w:b w:val="0"/>
                <w:sz w:val="15"/>
              </w:rPr>
              <w:t>+0.007</w:t>
            </w:r>
          </w:p>
        </w:tc>
        <w:tc>
          <w:tcPr>
            <w:tcW w:type="dxa" w:w="4422"/>
            <w:tcMar>
              <w:top w:w="75" w:type="dxa"/>
              <w:start w:w="80" w:type="dxa"/>
              <w:bottom w:w="75" w:type="dxa"/>
              <w:end w:w="80" w:type="dxa"/>
            </w:tcMar>
            <w:vAlign w:val="top"/>
          </w:tcPr>
          <w:p>
            <w:pPr>
              <w:spacing w:after="0"/>
            </w:pPr>
            <w:r>
              <w:rPr>
                <w:rFonts w:ascii="Arial" w:hAnsi="Arial"/>
                <w:b w:val="0"/>
                <w:sz w:val="15"/>
              </w:rPr>
              <w:t>Microstructure adds information.</w:t>
            </w:r>
          </w:p>
        </w:tc>
      </w:tr>
      <w:tr>
        <w:tc>
          <w:tcPr>
            <w:tcW w:type="dxa" w:w="3061"/>
            <w:tcMar>
              <w:top w:w="75" w:type="dxa"/>
              <w:start w:w="80" w:type="dxa"/>
              <w:bottom w:w="75" w:type="dxa"/>
              <w:end w:w="80" w:type="dxa"/>
            </w:tcMar>
            <w:vAlign w:val="top"/>
          </w:tcPr>
          <w:p>
            <w:pPr>
              <w:spacing w:after="0"/>
            </w:pPr>
            <w:r>
              <w:rPr>
                <w:rFonts w:ascii="Arial" w:hAnsi="Arial"/>
                <w:b/>
                <w:sz w:val="15"/>
              </w:rPr>
              <w:t>+ client-flow features</w:t>
            </w:r>
          </w:p>
        </w:tc>
        <w:tc>
          <w:tcPr>
            <w:tcW w:type="dxa" w:w="1134"/>
            <w:tcMar>
              <w:top w:w="75" w:type="dxa"/>
              <w:start w:w="80" w:type="dxa"/>
              <w:bottom w:w="75" w:type="dxa"/>
              <w:end w:w="80" w:type="dxa"/>
            </w:tcMar>
            <w:vAlign w:val="top"/>
          </w:tcPr>
          <w:p>
            <w:pPr>
              <w:spacing w:after="0"/>
            </w:pPr>
            <w:r>
              <w:rPr>
                <w:rFonts w:ascii="Arial" w:hAnsi="Arial"/>
                <w:b w:val="0"/>
                <w:sz w:val="15"/>
              </w:rPr>
              <w:t>0.030</w:t>
            </w:r>
          </w:p>
        </w:tc>
        <w:tc>
          <w:tcPr>
            <w:tcW w:type="dxa" w:w="1134"/>
            <w:tcMar>
              <w:top w:w="75" w:type="dxa"/>
              <w:start w:w="80" w:type="dxa"/>
              <w:bottom w:w="75" w:type="dxa"/>
              <w:end w:w="80" w:type="dxa"/>
            </w:tcMar>
            <w:vAlign w:val="top"/>
          </w:tcPr>
          <w:p>
            <w:pPr>
              <w:spacing w:after="0"/>
            </w:pPr>
            <w:r>
              <w:rPr>
                <w:rFonts w:ascii="Arial" w:hAnsi="Arial"/>
                <w:b w:val="0"/>
                <w:sz w:val="15"/>
              </w:rPr>
              <w:t>+0.009</w:t>
            </w:r>
          </w:p>
        </w:tc>
        <w:tc>
          <w:tcPr>
            <w:tcW w:type="dxa" w:w="4422"/>
            <w:tcMar>
              <w:top w:w="75" w:type="dxa"/>
              <w:start w:w="80" w:type="dxa"/>
              <w:bottom w:w="75" w:type="dxa"/>
              <w:end w:w="80" w:type="dxa"/>
            </w:tcMar>
            <w:vAlign w:val="top"/>
          </w:tcPr>
          <w:p>
            <w:pPr>
              <w:spacing w:after="0"/>
            </w:pPr>
            <w:r>
              <w:rPr>
                <w:rFonts w:ascii="Arial" w:hAnsi="Arial"/>
                <w:b w:val="0"/>
                <w:sz w:val="15"/>
              </w:rPr>
              <w:t>Most important incremental proprietary block.</w:t>
            </w:r>
          </w:p>
        </w:tc>
      </w:tr>
      <w:tr>
        <w:tc>
          <w:tcPr>
            <w:tcW w:type="dxa" w:w="3061"/>
            <w:tcMar>
              <w:top w:w="75" w:type="dxa"/>
              <w:start w:w="80" w:type="dxa"/>
              <w:bottom w:w="75" w:type="dxa"/>
              <w:end w:w="80" w:type="dxa"/>
            </w:tcMar>
            <w:vAlign w:val="top"/>
          </w:tcPr>
          <w:p>
            <w:pPr>
              <w:spacing w:after="0"/>
            </w:pPr>
            <w:r>
              <w:rPr>
                <w:rFonts w:ascii="Arial" w:hAnsi="Arial"/>
                <w:b/>
                <w:sz w:val="15"/>
              </w:rPr>
              <w:t>+ cross-venue features</w:t>
            </w:r>
          </w:p>
        </w:tc>
        <w:tc>
          <w:tcPr>
            <w:tcW w:type="dxa" w:w="1134"/>
            <w:tcMar>
              <w:top w:w="75" w:type="dxa"/>
              <w:start w:w="80" w:type="dxa"/>
              <w:bottom w:w="75" w:type="dxa"/>
              <w:end w:w="80" w:type="dxa"/>
            </w:tcMar>
            <w:vAlign w:val="top"/>
          </w:tcPr>
          <w:p>
            <w:pPr>
              <w:spacing w:after="0"/>
            </w:pPr>
            <w:r>
              <w:rPr>
                <w:rFonts w:ascii="Arial" w:hAnsi="Arial"/>
                <w:b w:val="0"/>
                <w:sz w:val="15"/>
              </w:rPr>
              <w:t>0.033</w:t>
            </w:r>
          </w:p>
        </w:tc>
        <w:tc>
          <w:tcPr>
            <w:tcW w:type="dxa" w:w="1134"/>
            <w:tcMar>
              <w:top w:w="75" w:type="dxa"/>
              <w:start w:w="80" w:type="dxa"/>
              <w:bottom w:w="75" w:type="dxa"/>
              <w:end w:w="80" w:type="dxa"/>
            </w:tcMar>
            <w:vAlign w:val="top"/>
          </w:tcPr>
          <w:p>
            <w:pPr>
              <w:spacing w:after="0"/>
            </w:pPr>
            <w:r>
              <w:rPr>
                <w:rFonts w:ascii="Arial" w:hAnsi="Arial"/>
                <w:b w:val="0"/>
                <w:sz w:val="15"/>
              </w:rPr>
              <w:t>+0.003</w:t>
            </w:r>
          </w:p>
        </w:tc>
        <w:tc>
          <w:tcPr>
            <w:tcW w:type="dxa" w:w="4422"/>
            <w:tcMar>
              <w:top w:w="75" w:type="dxa"/>
              <w:start w:w="80" w:type="dxa"/>
              <w:bottom w:w="75" w:type="dxa"/>
              <w:end w:w="80" w:type="dxa"/>
            </w:tcMar>
            <w:vAlign w:val="top"/>
          </w:tcPr>
          <w:p>
            <w:pPr>
              <w:spacing w:after="0"/>
            </w:pPr>
            <w:r>
              <w:rPr>
                <w:rFonts w:ascii="Arial" w:hAnsi="Arial"/>
                <w:b w:val="0"/>
                <w:sz w:val="15"/>
              </w:rPr>
              <w:t>Useful but sensitive to timestamp quality.</w:t>
            </w:r>
          </w:p>
        </w:tc>
      </w:tr>
      <w:tr>
        <w:tc>
          <w:tcPr>
            <w:tcW w:type="dxa" w:w="3061"/>
            <w:tcMar>
              <w:top w:w="75" w:type="dxa"/>
              <w:start w:w="80" w:type="dxa"/>
              <w:bottom w:w="75" w:type="dxa"/>
              <w:end w:w="80" w:type="dxa"/>
            </w:tcMar>
            <w:vAlign w:val="top"/>
          </w:tcPr>
          <w:p>
            <w:pPr>
              <w:spacing w:after="0"/>
            </w:pPr>
            <w:r>
              <w:rPr>
                <w:rFonts w:ascii="Arial" w:hAnsi="Arial"/>
                <w:b/>
                <w:sz w:val="15"/>
              </w:rPr>
              <w:t>+ nonlinear model / stack</w:t>
            </w:r>
          </w:p>
        </w:tc>
        <w:tc>
          <w:tcPr>
            <w:tcW w:type="dxa" w:w="1134"/>
            <w:tcMar>
              <w:top w:w="75" w:type="dxa"/>
              <w:start w:w="80" w:type="dxa"/>
              <w:bottom w:w="75" w:type="dxa"/>
              <w:end w:w="80" w:type="dxa"/>
            </w:tcMar>
            <w:vAlign w:val="top"/>
          </w:tcPr>
          <w:p>
            <w:pPr>
              <w:spacing w:after="0"/>
            </w:pPr>
            <w:r>
              <w:rPr>
                <w:rFonts w:ascii="Arial" w:hAnsi="Arial"/>
                <w:b w:val="0"/>
                <w:sz w:val="15"/>
              </w:rPr>
              <w:t>0.035</w:t>
            </w:r>
          </w:p>
        </w:tc>
        <w:tc>
          <w:tcPr>
            <w:tcW w:type="dxa" w:w="1134"/>
            <w:tcMar>
              <w:top w:w="75" w:type="dxa"/>
              <w:start w:w="80" w:type="dxa"/>
              <w:bottom w:w="75" w:type="dxa"/>
              <w:end w:w="80" w:type="dxa"/>
            </w:tcMar>
            <w:vAlign w:val="top"/>
          </w:tcPr>
          <w:p>
            <w:pPr>
              <w:spacing w:after="0"/>
            </w:pPr>
            <w:r>
              <w:rPr>
                <w:rFonts w:ascii="Arial" w:hAnsi="Arial"/>
                <w:b w:val="0"/>
                <w:sz w:val="15"/>
              </w:rPr>
              <w:t>+0.002</w:t>
            </w:r>
          </w:p>
        </w:tc>
        <w:tc>
          <w:tcPr>
            <w:tcW w:type="dxa" w:w="4422"/>
            <w:tcMar>
              <w:top w:w="75" w:type="dxa"/>
              <w:start w:w="80" w:type="dxa"/>
              <w:bottom w:w="75" w:type="dxa"/>
              <w:end w:w="80" w:type="dxa"/>
            </w:tcMar>
            <w:vAlign w:val="top"/>
          </w:tcPr>
          <w:p>
            <w:pPr>
              <w:spacing w:after="0"/>
            </w:pPr>
            <w:r>
              <w:rPr>
                <w:rFonts w:ascii="Arial" w:hAnsi="Arial"/>
                <w:b w:val="0"/>
                <w:sz w:val="15"/>
              </w:rPr>
              <w:t>Complexity gives only a small incremental gain.</w:t>
            </w:r>
          </w:p>
        </w:tc>
      </w:tr>
    </w:tbl>
    <w:p>
      <w:pPr>
        <w:spacing w:after="0"/>
      </w:pPr>
    </w:p>
    <w:p>
      <w:pPr>
        <w:pStyle w:val="Heading2"/>
        <w:keepNext/>
        <w:spacing w:before="160" w:after="100"/>
      </w:pPr>
      <w:r>
        <w:rPr>
          <w:rFonts w:ascii="Arial" w:hAnsi="Arial"/>
          <w:b/>
          <w:sz w:val="25"/>
        </w:rPr>
        <w:t>1.16 Signal decay and latency</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2268"/>
            <w:shd w:fill="D9E1F2"/>
            <w:tcMar>
              <w:top w:w="80" w:type="dxa"/>
              <w:start w:w="80" w:type="dxa"/>
              <w:bottom w:w="80" w:type="dxa"/>
              <w:end w:w="80" w:type="dxa"/>
            </w:tcMar>
            <w:vAlign w:val="center"/>
          </w:tcPr>
          <w:p>
            <w:pPr>
              <w:jc w:val="left"/>
            </w:pPr>
            <w:r>
              <w:rPr>
                <w:rFonts w:ascii="Arial" w:hAnsi="Arial"/>
                <w:b/>
                <w:sz w:val="16"/>
              </w:rPr>
              <w:t>Forward horizon</w:t>
            </w:r>
          </w:p>
        </w:tc>
        <w:tc>
          <w:tcPr>
            <w:tcW w:type="dxa" w:w="1701"/>
            <w:shd w:fill="D9E1F2"/>
            <w:tcMar>
              <w:top w:w="80" w:type="dxa"/>
              <w:start w:w="80" w:type="dxa"/>
              <w:bottom w:w="80" w:type="dxa"/>
              <w:end w:w="80" w:type="dxa"/>
            </w:tcMar>
            <w:vAlign w:val="center"/>
          </w:tcPr>
          <w:p>
            <w:pPr>
              <w:jc w:val="left"/>
            </w:pPr>
            <w:r>
              <w:rPr>
                <w:rFonts w:ascii="Arial" w:hAnsi="Arial"/>
                <w:b/>
                <w:sz w:val="16"/>
              </w:rPr>
              <w:t>Illustrative IC</w:t>
            </w:r>
          </w:p>
        </w:tc>
        <w:tc>
          <w:tcPr>
            <w:tcW w:type="dxa" w:w="5783"/>
            <w:shd w:fill="D9E1F2"/>
            <w:tcMar>
              <w:top w:w="80" w:type="dxa"/>
              <w:start w:w="80" w:type="dxa"/>
              <w:bottom w:w="80" w:type="dxa"/>
              <w:end w:w="80" w:type="dxa"/>
            </w:tcMar>
            <w:vAlign w:val="center"/>
          </w:tcPr>
          <w:p>
            <w:pPr>
              <w:jc w:val="left"/>
            </w:pPr>
            <w:r>
              <w:rPr>
                <w:rFonts w:ascii="Arial" w:hAnsi="Arial"/>
                <w:b/>
                <w:sz w:val="16"/>
              </w:rPr>
              <w:t>Interpretation</w:t>
            </w:r>
          </w:p>
        </w:tc>
      </w:tr>
      <w:tr>
        <w:tc>
          <w:tcPr>
            <w:tcW w:type="dxa" w:w="2268"/>
            <w:tcMar>
              <w:top w:w="75" w:type="dxa"/>
              <w:start w:w="80" w:type="dxa"/>
              <w:bottom w:w="75" w:type="dxa"/>
              <w:end w:w="80" w:type="dxa"/>
            </w:tcMar>
            <w:vAlign w:val="top"/>
          </w:tcPr>
          <w:p>
            <w:pPr>
              <w:spacing w:after="0"/>
            </w:pPr>
            <w:r>
              <w:rPr>
                <w:rFonts w:ascii="Arial" w:hAnsi="Arial"/>
                <w:b/>
                <w:sz w:val="16"/>
              </w:rPr>
              <w:t>5s</w:t>
            </w:r>
          </w:p>
        </w:tc>
        <w:tc>
          <w:tcPr>
            <w:tcW w:type="dxa" w:w="1701"/>
            <w:tcMar>
              <w:top w:w="75" w:type="dxa"/>
              <w:start w:w="80" w:type="dxa"/>
              <w:bottom w:w="75" w:type="dxa"/>
              <w:end w:w="80" w:type="dxa"/>
            </w:tcMar>
            <w:vAlign w:val="top"/>
          </w:tcPr>
          <w:p>
            <w:pPr>
              <w:spacing w:after="0"/>
            </w:pPr>
            <w:r>
              <w:rPr>
                <w:rFonts w:ascii="Arial" w:hAnsi="Arial"/>
                <w:b w:val="0"/>
                <w:sz w:val="16"/>
              </w:rPr>
              <w:t>0.018</w:t>
            </w:r>
          </w:p>
        </w:tc>
        <w:tc>
          <w:tcPr>
            <w:tcW w:type="dxa" w:w="5783"/>
            <w:tcMar>
              <w:top w:w="75" w:type="dxa"/>
              <w:start w:w="80" w:type="dxa"/>
              <w:bottom w:w="75" w:type="dxa"/>
              <w:end w:w="80" w:type="dxa"/>
            </w:tcMar>
            <w:vAlign w:val="top"/>
          </w:tcPr>
          <w:p>
            <w:pPr>
              <w:spacing w:after="0"/>
            </w:pPr>
            <w:r>
              <w:rPr>
                <w:rFonts w:ascii="Arial" w:hAnsi="Arial"/>
                <w:b w:val="0"/>
                <w:sz w:val="16"/>
              </w:rPr>
              <w:t>Signal has started but is noisy.</w:t>
            </w:r>
          </w:p>
        </w:tc>
      </w:tr>
      <w:tr>
        <w:tc>
          <w:tcPr>
            <w:tcW w:type="dxa" w:w="2268"/>
            <w:tcMar>
              <w:top w:w="75" w:type="dxa"/>
              <w:start w:w="80" w:type="dxa"/>
              <w:bottom w:w="75" w:type="dxa"/>
              <w:end w:w="80" w:type="dxa"/>
            </w:tcMar>
            <w:vAlign w:val="top"/>
          </w:tcPr>
          <w:p>
            <w:pPr>
              <w:spacing w:after="0"/>
            </w:pPr>
            <w:r>
              <w:rPr>
                <w:rFonts w:ascii="Arial" w:hAnsi="Arial"/>
                <w:b/>
                <w:sz w:val="16"/>
              </w:rPr>
              <w:t>10s</w:t>
            </w:r>
          </w:p>
        </w:tc>
        <w:tc>
          <w:tcPr>
            <w:tcW w:type="dxa" w:w="1701"/>
            <w:tcMar>
              <w:top w:w="75" w:type="dxa"/>
              <w:start w:w="80" w:type="dxa"/>
              <w:bottom w:w="75" w:type="dxa"/>
              <w:end w:w="80" w:type="dxa"/>
            </w:tcMar>
            <w:vAlign w:val="top"/>
          </w:tcPr>
          <w:p>
            <w:pPr>
              <w:spacing w:after="0"/>
            </w:pPr>
            <w:r>
              <w:rPr>
                <w:rFonts w:ascii="Arial" w:hAnsi="Arial"/>
                <w:b w:val="0"/>
                <w:sz w:val="16"/>
              </w:rPr>
              <w:t>0.028</w:t>
            </w:r>
          </w:p>
        </w:tc>
        <w:tc>
          <w:tcPr>
            <w:tcW w:type="dxa" w:w="5783"/>
            <w:tcMar>
              <w:top w:w="75" w:type="dxa"/>
              <w:start w:w="80" w:type="dxa"/>
              <w:bottom w:w="75" w:type="dxa"/>
              <w:end w:w="80" w:type="dxa"/>
            </w:tcMar>
            <w:vAlign w:val="top"/>
          </w:tcPr>
          <w:p>
            <w:pPr>
              <w:spacing w:after="0"/>
            </w:pPr>
            <w:r>
              <w:rPr>
                <w:rFonts w:ascii="Arial" w:hAnsi="Arial"/>
                <w:b w:val="0"/>
                <w:sz w:val="16"/>
              </w:rPr>
              <w:t>Stronger near-term relationship.</w:t>
            </w:r>
          </w:p>
        </w:tc>
      </w:tr>
      <w:tr>
        <w:tc>
          <w:tcPr>
            <w:tcW w:type="dxa" w:w="2268"/>
            <w:tcMar>
              <w:top w:w="75" w:type="dxa"/>
              <w:start w:w="80" w:type="dxa"/>
              <w:bottom w:w="75" w:type="dxa"/>
              <w:end w:w="80" w:type="dxa"/>
            </w:tcMar>
            <w:vAlign w:val="top"/>
          </w:tcPr>
          <w:p>
            <w:pPr>
              <w:spacing w:after="0"/>
            </w:pPr>
            <w:r>
              <w:rPr>
                <w:rFonts w:ascii="Arial" w:hAnsi="Arial"/>
                <w:b/>
                <w:sz w:val="16"/>
              </w:rPr>
              <w:t>30s</w:t>
            </w:r>
          </w:p>
        </w:tc>
        <w:tc>
          <w:tcPr>
            <w:tcW w:type="dxa" w:w="1701"/>
            <w:tcMar>
              <w:top w:w="75" w:type="dxa"/>
              <w:start w:w="80" w:type="dxa"/>
              <w:bottom w:w="75" w:type="dxa"/>
              <w:end w:w="80" w:type="dxa"/>
            </w:tcMar>
            <w:vAlign w:val="top"/>
          </w:tcPr>
          <w:p>
            <w:pPr>
              <w:spacing w:after="0"/>
            </w:pPr>
            <w:r>
              <w:rPr>
                <w:rFonts w:ascii="Arial" w:hAnsi="Arial"/>
                <w:b w:val="0"/>
                <w:sz w:val="16"/>
              </w:rPr>
              <w:t>0.035</w:t>
            </w:r>
          </w:p>
        </w:tc>
        <w:tc>
          <w:tcPr>
            <w:tcW w:type="dxa" w:w="5783"/>
            <w:tcMar>
              <w:top w:w="75" w:type="dxa"/>
              <w:start w:w="80" w:type="dxa"/>
              <w:bottom w:w="75" w:type="dxa"/>
              <w:end w:w="80" w:type="dxa"/>
            </w:tcMar>
            <w:vAlign w:val="top"/>
          </w:tcPr>
          <w:p>
            <w:pPr>
              <w:spacing w:after="0"/>
            </w:pPr>
            <w:r>
              <w:rPr>
                <w:rFonts w:ascii="Arial" w:hAnsi="Arial"/>
                <w:b w:val="0"/>
                <w:sz w:val="16"/>
              </w:rPr>
              <w:t>Primary pre-declared horizon.</w:t>
            </w:r>
          </w:p>
        </w:tc>
      </w:tr>
      <w:tr>
        <w:tc>
          <w:tcPr>
            <w:tcW w:type="dxa" w:w="2268"/>
            <w:tcMar>
              <w:top w:w="75" w:type="dxa"/>
              <w:start w:w="80" w:type="dxa"/>
              <w:bottom w:w="75" w:type="dxa"/>
              <w:end w:w="80" w:type="dxa"/>
            </w:tcMar>
            <w:vAlign w:val="top"/>
          </w:tcPr>
          <w:p>
            <w:pPr>
              <w:spacing w:after="0"/>
            </w:pPr>
            <w:r>
              <w:rPr>
                <w:rFonts w:ascii="Arial" w:hAnsi="Arial"/>
                <w:b/>
                <w:sz w:val="16"/>
              </w:rPr>
              <w:t>60s</w:t>
            </w:r>
          </w:p>
        </w:tc>
        <w:tc>
          <w:tcPr>
            <w:tcW w:type="dxa" w:w="1701"/>
            <w:tcMar>
              <w:top w:w="75" w:type="dxa"/>
              <w:start w:w="80" w:type="dxa"/>
              <w:bottom w:w="75" w:type="dxa"/>
              <w:end w:w="80" w:type="dxa"/>
            </w:tcMar>
            <w:vAlign w:val="top"/>
          </w:tcPr>
          <w:p>
            <w:pPr>
              <w:spacing w:after="0"/>
            </w:pPr>
            <w:r>
              <w:rPr>
                <w:rFonts w:ascii="Arial" w:hAnsi="Arial"/>
                <w:b w:val="0"/>
                <w:sz w:val="16"/>
              </w:rPr>
              <w:t>0.023</w:t>
            </w:r>
          </w:p>
        </w:tc>
        <w:tc>
          <w:tcPr>
            <w:tcW w:type="dxa" w:w="5783"/>
            <w:tcMar>
              <w:top w:w="75" w:type="dxa"/>
              <w:start w:w="80" w:type="dxa"/>
              <w:bottom w:w="75" w:type="dxa"/>
              <w:end w:w="80" w:type="dxa"/>
            </w:tcMar>
            <w:vAlign w:val="top"/>
          </w:tcPr>
          <w:p>
            <w:pPr>
              <w:spacing w:after="0"/>
            </w:pPr>
            <w:r>
              <w:rPr>
                <w:rFonts w:ascii="Arial" w:hAnsi="Arial"/>
                <w:b w:val="0"/>
                <w:sz w:val="16"/>
              </w:rPr>
              <w:t>Information decays.</w:t>
            </w:r>
          </w:p>
        </w:tc>
      </w:tr>
      <w:tr>
        <w:tc>
          <w:tcPr>
            <w:tcW w:type="dxa" w:w="2268"/>
            <w:tcMar>
              <w:top w:w="75" w:type="dxa"/>
              <w:start w:w="80" w:type="dxa"/>
              <w:bottom w:w="75" w:type="dxa"/>
              <w:end w:w="80" w:type="dxa"/>
            </w:tcMar>
            <w:vAlign w:val="top"/>
          </w:tcPr>
          <w:p>
            <w:pPr>
              <w:spacing w:after="0"/>
            </w:pPr>
            <w:r>
              <w:rPr>
                <w:rFonts w:ascii="Arial" w:hAnsi="Arial"/>
                <w:b/>
                <w:sz w:val="16"/>
              </w:rPr>
              <w:t>120s</w:t>
            </w:r>
          </w:p>
        </w:tc>
        <w:tc>
          <w:tcPr>
            <w:tcW w:type="dxa" w:w="1701"/>
            <w:tcMar>
              <w:top w:w="75" w:type="dxa"/>
              <w:start w:w="80" w:type="dxa"/>
              <w:bottom w:w="75" w:type="dxa"/>
              <w:end w:w="80" w:type="dxa"/>
            </w:tcMar>
            <w:vAlign w:val="top"/>
          </w:tcPr>
          <w:p>
            <w:pPr>
              <w:spacing w:after="0"/>
            </w:pPr>
            <w:r>
              <w:rPr>
                <w:rFonts w:ascii="Arial" w:hAnsi="Arial"/>
                <w:b w:val="0"/>
                <w:sz w:val="16"/>
              </w:rPr>
              <w:t>0.007</w:t>
            </w:r>
          </w:p>
        </w:tc>
        <w:tc>
          <w:tcPr>
            <w:tcW w:type="dxa" w:w="5783"/>
            <w:tcMar>
              <w:top w:w="75" w:type="dxa"/>
              <w:start w:w="80" w:type="dxa"/>
              <w:bottom w:w="75" w:type="dxa"/>
              <w:end w:w="80" w:type="dxa"/>
            </w:tcMar>
            <w:vAlign w:val="top"/>
          </w:tcPr>
          <w:p>
            <w:pPr>
              <w:spacing w:after="0"/>
            </w:pPr>
            <w:r>
              <w:rPr>
                <w:rFonts w:ascii="Arial" w:hAnsi="Arial"/>
                <w:b w:val="0"/>
                <w:sz w:val="16"/>
              </w:rPr>
              <w:t>Most of the edge has dissipated.</w:t>
            </w:r>
          </w:p>
        </w:tc>
      </w:tr>
    </w:tbl>
    <w:p>
      <w:pPr>
        <w:spacing w:after="0"/>
      </w:pPr>
    </w:p>
    <w:p>
      <w:pPr>
        <w:keepNext w:val="0"/>
        <w:spacing w:after="100" w:line="252" w:lineRule="auto"/>
      </w:pPr>
      <w:r>
        <w:rPr>
          <w:rFonts w:ascii="Arial" w:hAnsi="Arial"/>
          <w:i w:val="0"/>
        </w:rPr>
        <w:t>A deployment stress then delays the feature cutoff relative to the market. An illustrative result might show IC falling from 0.035 at nominal latency to 0.031 at +100ms, 0.026 at +500ms, 0.018 at +2s and close to zero by +5s. The exact pattern is less important than proving that the signal has a plausible decay curve and that the usable horizon exceeds the end-to-end decision latency.</w:t>
      </w:r>
    </w:p>
    <w:p>
      <w:pPr>
        <w:pStyle w:val="Heading2"/>
        <w:keepNext/>
        <w:spacing w:before="160" w:after="100"/>
      </w:pPr>
      <w:r>
        <w:rPr>
          <w:rFonts w:ascii="Arial" w:hAnsi="Arial"/>
          <w:b/>
          <w:sz w:val="25"/>
        </w:rPr>
        <w:t>1.17 From forecast to trading policy</w:t>
      </w:r>
    </w:p>
    <w:p>
      <w:pPr>
        <w:keepNext w:val="0"/>
        <w:spacing w:after="100" w:line="252" w:lineRule="auto"/>
      </w:pPr>
      <w:r>
        <w:rPr>
          <w:rFonts w:ascii="Arial" w:hAnsi="Arial"/>
          <w:i w:val="0"/>
        </w:rPr>
        <w:t>A positive 30-second mid forecast is not automatically a buy order. The forecast becomes actionable only if the expected advantage exceeds all plausible execution costs plus an uncertainty buffer.</w:t>
      </w:r>
    </w:p>
    <w:p>
      <w:pPr>
        <w:keepLines/>
        <w:spacing w:before="60" w:after="80"/>
        <w:ind w:left="312" w:right="170"/>
        <w:jc w:val="center"/>
      </w:pPr>
      <w:r>
        <w:rPr>
          <w:rFonts w:ascii="Cambria Math" w:hAnsi="Cambria Math" w:eastAsia="Cambria Math" w:cs="Cambria Math"/>
          <w:sz w:val="21"/>
        </w:rPr>
        <w:t>|forecast_bp| &gt; spread_cost + slippage + impact + uncertainty_buffer</w:t>
      </w:r>
    </w:p>
    <w:p>
      <w:pPr>
        <w:keepNext w:val="0"/>
        <w:spacing w:after="100" w:line="252" w:lineRule="auto"/>
      </w:pPr>
      <w:r>
        <w:rPr>
          <w:rFonts w:ascii="Arial" w:hAnsi="Arial"/>
          <w:i w:val="0"/>
        </w:rPr>
        <w:t>Illustrative threshold example: predicted move +1.4 bp; expected spread/fees 0.55 bp; slippage/impact 0.25 bp; uncertainty buffer 0.30 bp. Residual expected edge is 0.30 bp. A +0.6 bp forecast would not trade even if direction is likely correct.</w:t>
      </w:r>
    </w:p>
    <w:p>
      <w:pPr>
        <w:pStyle w:val="Heading2"/>
        <w:keepNext/>
        <w:spacing w:before="160" w:after="100"/>
      </w:pPr>
      <w:r>
        <w:rPr>
          <w:rFonts w:ascii="Arial" w:hAnsi="Arial"/>
          <w:b/>
          <w:sz w:val="25"/>
        </w:rPr>
        <w:t>1.18 Illustrative trading simulation</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ILLUSTRATIVE RESULT</w:t>
            </w:r>
          </w:p>
          <w:p>
            <w:pPr>
              <w:spacing w:after="0"/>
            </w:pPr>
            <w:r>
              <w:rPr>
                <w:rFonts w:ascii="Arial" w:hAnsi="Arial"/>
                <w:sz w:val="18"/>
              </w:rPr>
              <w:t>A realistic research result should show that much of the statistical edge disappears after costs. The following is a plausible training example, not a historical result.</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2835"/>
            <w:shd w:fill="D9E1F2"/>
            <w:tcMar>
              <w:top w:w="80" w:type="dxa"/>
              <w:start w:w="80" w:type="dxa"/>
              <w:bottom w:w="80" w:type="dxa"/>
              <w:end w:w="80" w:type="dxa"/>
            </w:tcMar>
            <w:vAlign w:val="center"/>
          </w:tcPr>
          <w:p>
            <w:pPr>
              <w:jc w:val="left"/>
            </w:pPr>
            <w:r>
              <w:rPr>
                <w:rFonts w:ascii="Arial" w:hAnsi="Arial"/>
                <w:b/>
                <w:sz w:val="15"/>
              </w:rPr>
              <w:t>Metric</w:t>
            </w:r>
          </w:p>
        </w:tc>
        <w:tc>
          <w:tcPr>
            <w:tcW w:type="dxa" w:w="1984"/>
            <w:shd w:fill="D9E1F2"/>
            <w:tcMar>
              <w:top w:w="80" w:type="dxa"/>
              <w:start w:w="80" w:type="dxa"/>
              <w:bottom w:w="80" w:type="dxa"/>
              <w:end w:w="80" w:type="dxa"/>
            </w:tcMar>
            <w:vAlign w:val="center"/>
          </w:tcPr>
          <w:p>
            <w:pPr>
              <w:jc w:val="left"/>
            </w:pPr>
            <w:r>
              <w:rPr>
                <w:rFonts w:ascii="Arial" w:hAnsi="Arial"/>
                <w:b/>
                <w:sz w:val="15"/>
              </w:rPr>
              <w:t>Illustrative value</w:t>
            </w:r>
          </w:p>
        </w:tc>
        <w:tc>
          <w:tcPr>
            <w:tcW w:type="dxa" w:w="4932"/>
            <w:shd w:fill="D9E1F2"/>
            <w:tcMar>
              <w:top w:w="80" w:type="dxa"/>
              <w:start w:w="80" w:type="dxa"/>
              <w:bottom w:w="80" w:type="dxa"/>
              <w:end w:w="80" w:type="dxa"/>
            </w:tcMar>
            <w:vAlign w:val="center"/>
          </w:tcPr>
          <w:p>
            <w:pPr>
              <w:jc w:val="left"/>
            </w:pPr>
            <w:r>
              <w:rPr>
                <w:rFonts w:ascii="Arial" w:hAnsi="Arial"/>
                <w:b/>
                <w:sz w:val="15"/>
              </w:rPr>
              <w:t>Interpretation</w:t>
            </w:r>
          </w:p>
        </w:tc>
      </w:tr>
      <w:tr>
        <w:tc>
          <w:tcPr>
            <w:tcW w:type="dxa" w:w="2835"/>
            <w:tcMar>
              <w:top w:w="75" w:type="dxa"/>
              <w:start w:w="80" w:type="dxa"/>
              <w:bottom w:w="75" w:type="dxa"/>
              <w:end w:w="80" w:type="dxa"/>
            </w:tcMar>
            <w:vAlign w:val="top"/>
          </w:tcPr>
          <w:p>
            <w:pPr>
              <w:spacing w:after="0"/>
            </w:pPr>
            <w:r>
              <w:rPr>
                <w:rFonts w:ascii="Arial" w:hAnsi="Arial"/>
                <w:b/>
                <w:sz w:val="15"/>
              </w:rPr>
              <w:t>Eligible 1-second decisions in final test</w:t>
            </w:r>
          </w:p>
        </w:tc>
        <w:tc>
          <w:tcPr>
            <w:tcW w:type="dxa" w:w="1984"/>
            <w:tcMar>
              <w:top w:w="75" w:type="dxa"/>
              <w:start w:w="80" w:type="dxa"/>
              <w:bottom w:w="75" w:type="dxa"/>
              <w:end w:w="80" w:type="dxa"/>
            </w:tcMar>
            <w:vAlign w:val="top"/>
          </w:tcPr>
          <w:p>
            <w:pPr>
              <w:spacing w:after="0"/>
            </w:pPr>
            <w:r>
              <w:rPr>
                <w:rFonts w:ascii="Arial" w:hAnsi="Arial"/>
                <w:b w:val="0"/>
                <w:sz w:val="15"/>
              </w:rPr>
              <w:t>~1.3 million</w:t>
            </w:r>
          </w:p>
        </w:tc>
        <w:tc>
          <w:tcPr>
            <w:tcW w:type="dxa" w:w="4932"/>
            <w:tcMar>
              <w:top w:w="75" w:type="dxa"/>
              <w:start w:w="80" w:type="dxa"/>
              <w:bottom w:w="75" w:type="dxa"/>
              <w:end w:w="80" w:type="dxa"/>
            </w:tcMar>
            <w:vAlign w:val="top"/>
          </w:tcPr>
          <w:p>
            <w:pPr>
              <w:spacing w:after="0"/>
            </w:pPr>
            <w:r>
              <w:rPr>
                <w:rFonts w:ascii="Arial" w:hAnsi="Arial"/>
                <w:b w:val="0"/>
                <w:sz w:val="15"/>
              </w:rPr>
              <w:t>Large row count but highly dependent observations.</w:t>
            </w:r>
          </w:p>
        </w:tc>
      </w:tr>
      <w:tr>
        <w:tc>
          <w:tcPr>
            <w:tcW w:type="dxa" w:w="2835"/>
            <w:tcMar>
              <w:top w:w="75" w:type="dxa"/>
              <w:start w:w="80" w:type="dxa"/>
              <w:bottom w:w="75" w:type="dxa"/>
              <w:end w:w="80" w:type="dxa"/>
            </w:tcMar>
            <w:vAlign w:val="top"/>
          </w:tcPr>
          <w:p>
            <w:pPr>
              <w:spacing w:after="0"/>
            </w:pPr>
            <w:r>
              <w:rPr>
                <w:rFonts w:ascii="Arial" w:hAnsi="Arial"/>
                <w:b/>
                <w:sz w:val="15"/>
              </w:rPr>
              <w:t>Trades after forecast/liquidity threshold</w:t>
            </w:r>
          </w:p>
        </w:tc>
        <w:tc>
          <w:tcPr>
            <w:tcW w:type="dxa" w:w="1984"/>
            <w:tcMar>
              <w:top w:w="75" w:type="dxa"/>
              <w:start w:w="80" w:type="dxa"/>
              <w:bottom w:w="75" w:type="dxa"/>
              <w:end w:w="80" w:type="dxa"/>
            </w:tcMar>
            <w:vAlign w:val="top"/>
          </w:tcPr>
          <w:p>
            <w:pPr>
              <w:spacing w:after="0"/>
            </w:pPr>
            <w:r>
              <w:rPr>
                <w:rFonts w:ascii="Arial" w:hAnsi="Arial"/>
                <w:b w:val="0"/>
                <w:sz w:val="15"/>
              </w:rPr>
              <w:t>~14,000</w:t>
            </w:r>
          </w:p>
        </w:tc>
        <w:tc>
          <w:tcPr>
            <w:tcW w:type="dxa" w:w="4932"/>
            <w:tcMar>
              <w:top w:w="75" w:type="dxa"/>
              <w:start w:w="80" w:type="dxa"/>
              <w:bottom w:w="75" w:type="dxa"/>
              <w:end w:w="80" w:type="dxa"/>
            </w:tcMar>
            <w:vAlign w:val="top"/>
          </w:tcPr>
          <w:p>
            <w:pPr>
              <w:spacing w:after="0"/>
            </w:pPr>
            <w:r>
              <w:rPr>
                <w:rFonts w:ascii="Arial" w:hAnsi="Arial"/>
                <w:b w:val="0"/>
                <w:sz w:val="15"/>
              </w:rPr>
              <w:t>Only a small subset of strong signals is traded.</w:t>
            </w:r>
          </w:p>
        </w:tc>
      </w:tr>
      <w:tr>
        <w:tc>
          <w:tcPr>
            <w:tcW w:type="dxa" w:w="2835"/>
            <w:tcMar>
              <w:top w:w="75" w:type="dxa"/>
              <w:start w:w="80" w:type="dxa"/>
              <w:bottom w:w="75" w:type="dxa"/>
              <w:end w:w="80" w:type="dxa"/>
            </w:tcMar>
            <w:vAlign w:val="top"/>
          </w:tcPr>
          <w:p>
            <w:pPr>
              <w:spacing w:after="0"/>
            </w:pPr>
            <w:r>
              <w:rPr>
                <w:rFonts w:ascii="Arial" w:hAnsi="Arial"/>
                <w:b/>
                <w:sz w:val="15"/>
              </w:rPr>
              <w:t>Average 30s favourable mid move after entry</w:t>
            </w:r>
          </w:p>
        </w:tc>
        <w:tc>
          <w:tcPr>
            <w:tcW w:type="dxa" w:w="1984"/>
            <w:tcMar>
              <w:top w:w="75" w:type="dxa"/>
              <w:start w:w="80" w:type="dxa"/>
              <w:bottom w:w="75" w:type="dxa"/>
              <w:end w:w="80" w:type="dxa"/>
            </w:tcMar>
            <w:vAlign w:val="top"/>
          </w:tcPr>
          <w:p>
            <w:pPr>
              <w:spacing w:after="0"/>
            </w:pPr>
            <w:r>
              <w:rPr>
                <w:rFonts w:ascii="Arial" w:hAnsi="Arial"/>
                <w:b w:val="0"/>
                <w:sz w:val="15"/>
              </w:rPr>
              <w:t>0.47 bp</w:t>
            </w:r>
          </w:p>
        </w:tc>
        <w:tc>
          <w:tcPr>
            <w:tcW w:type="dxa" w:w="4932"/>
            <w:tcMar>
              <w:top w:w="75" w:type="dxa"/>
              <w:start w:w="80" w:type="dxa"/>
              <w:bottom w:w="75" w:type="dxa"/>
              <w:end w:w="80" w:type="dxa"/>
            </w:tcMar>
            <w:vAlign w:val="top"/>
          </w:tcPr>
          <w:p>
            <w:pPr>
              <w:spacing w:after="0"/>
            </w:pPr>
            <w:r>
              <w:rPr>
                <w:rFonts w:ascii="Arial" w:hAnsi="Arial"/>
                <w:b w:val="0"/>
                <w:sz w:val="15"/>
              </w:rPr>
              <w:t>Gross conditional markout.</w:t>
            </w:r>
          </w:p>
        </w:tc>
      </w:tr>
      <w:tr>
        <w:tc>
          <w:tcPr>
            <w:tcW w:type="dxa" w:w="2835"/>
            <w:tcMar>
              <w:top w:w="75" w:type="dxa"/>
              <w:start w:w="80" w:type="dxa"/>
              <w:bottom w:w="75" w:type="dxa"/>
              <w:end w:w="80" w:type="dxa"/>
            </w:tcMar>
            <w:vAlign w:val="top"/>
          </w:tcPr>
          <w:p>
            <w:pPr>
              <w:spacing w:after="0"/>
            </w:pPr>
            <w:r>
              <w:rPr>
                <w:rFonts w:ascii="Arial" w:hAnsi="Arial"/>
                <w:b/>
                <w:sz w:val="15"/>
              </w:rPr>
              <w:t>Estimated spread + fees + slippage</w:t>
            </w:r>
          </w:p>
        </w:tc>
        <w:tc>
          <w:tcPr>
            <w:tcW w:type="dxa" w:w="1984"/>
            <w:tcMar>
              <w:top w:w="75" w:type="dxa"/>
              <w:start w:w="80" w:type="dxa"/>
              <w:bottom w:w="75" w:type="dxa"/>
              <w:end w:w="80" w:type="dxa"/>
            </w:tcMar>
            <w:vAlign w:val="top"/>
          </w:tcPr>
          <w:p>
            <w:pPr>
              <w:spacing w:after="0"/>
            </w:pPr>
            <w:r>
              <w:rPr>
                <w:rFonts w:ascii="Arial" w:hAnsi="Arial"/>
                <w:b w:val="0"/>
                <w:sz w:val="15"/>
              </w:rPr>
              <w:t>0.30 bp</w:t>
            </w:r>
          </w:p>
        </w:tc>
        <w:tc>
          <w:tcPr>
            <w:tcW w:type="dxa" w:w="4932"/>
            <w:tcMar>
              <w:top w:w="75" w:type="dxa"/>
              <w:start w:w="80" w:type="dxa"/>
              <w:bottom w:w="75" w:type="dxa"/>
              <w:end w:w="80" w:type="dxa"/>
            </w:tcMar>
            <w:vAlign w:val="top"/>
          </w:tcPr>
          <w:p>
            <w:pPr>
              <w:spacing w:after="0"/>
            </w:pPr>
            <w:r>
              <w:rPr>
                <w:rFonts w:ascii="Arial" w:hAnsi="Arial"/>
                <w:b w:val="0"/>
                <w:sz w:val="15"/>
              </w:rPr>
              <w:t>Executable-cost estimate.</w:t>
            </w:r>
          </w:p>
        </w:tc>
      </w:tr>
      <w:tr>
        <w:tc>
          <w:tcPr>
            <w:tcW w:type="dxa" w:w="2835"/>
            <w:tcMar>
              <w:top w:w="75" w:type="dxa"/>
              <w:start w:w="80" w:type="dxa"/>
              <w:bottom w:w="75" w:type="dxa"/>
              <w:end w:w="80" w:type="dxa"/>
            </w:tcMar>
            <w:vAlign w:val="top"/>
          </w:tcPr>
          <w:p>
            <w:pPr>
              <w:spacing w:after="0"/>
            </w:pPr>
            <w:r>
              <w:rPr>
                <w:rFonts w:ascii="Arial" w:hAnsi="Arial"/>
                <w:b/>
                <w:sz w:val="15"/>
              </w:rPr>
              <w:t>Net average contribution before inventory limits</w:t>
            </w:r>
          </w:p>
        </w:tc>
        <w:tc>
          <w:tcPr>
            <w:tcW w:type="dxa" w:w="1984"/>
            <w:tcMar>
              <w:top w:w="75" w:type="dxa"/>
              <w:start w:w="80" w:type="dxa"/>
              <w:bottom w:w="75" w:type="dxa"/>
              <w:end w:w="80" w:type="dxa"/>
            </w:tcMar>
            <w:vAlign w:val="top"/>
          </w:tcPr>
          <w:p>
            <w:pPr>
              <w:spacing w:after="0"/>
            </w:pPr>
            <w:r>
              <w:rPr>
                <w:rFonts w:ascii="Arial" w:hAnsi="Arial"/>
                <w:b w:val="0"/>
                <w:sz w:val="15"/>
              </w:rPr>
              <w:t>0.17 bp/trade</w:t>
            </w:r>
          </w:p>
        </w:tc>
        <w:tc>
          <w:tcPr>
            <w:tcW w:type="dxa" w:w="4932"/>
            <w:tcMar>
              <w:top w:w="75" w:type="dxa"/>
              <w:start w:w="80" w:type="dxa"/>
              <w:bottom w:w="75" w:type="dxa"/>
              <w:end w:w="80" w:type="dxa"/>
            </w:tcMar>
            <w:vAlign w:val="top"/>
          </w:tcPr>
          <w:p>
            <w:pPr>
              <w:spacing w:after="0"/>
            </w:pPr>
            <w:r>
              <w:rPr>
                <w:rFonts w:ascii="Arial" w:hAnsi="Arial"/>
                <w:b w:val="0"/>
                <w:sz w:val="15"/>
              </w:rPr>
              <w:t>Positive but small.</w:t>
            </w:r>
          </w:p>
        </w:tc>
      </w:tr>
      <w:tr>
        <w:tc>
          <w:tcPr>
            <w:tcW w:type="dxa" w:w="2835"/>
            <w:tcMar>
              <w:top w:w="75" w:type="dxa"/>
              <w:start w:w="80" w:type="dxa"/>
              <w:bottom w:w="75" w:type="dxa"/>
              <w:end w:w="80" w:type="dxa"/>
            </w:tcMar>
            <w:vAlign w:val="top"/>
          </w:tcPr>
          <w:p>
            <w:pPr>
              <w:spacing w:after="0"/>
            </w:pPr>
            <w:r>
              <w:rPr>
                <w:rFonts w:ascii="Arial" w:hAnsi="Arial"/>
                <w:b/>
                <w:sz w:val="15"/>
              </w:rPr>
              <w:t>Simulated annualised Sharpe</w:t>
            </w:r>
          </w:p>
        </w:tc>
        <w:tc>
          <w:tcPr>
            <w:tcW w:type="dxa" w:w="1984"/>
            <w:tcMar>
              <w:top w:w="75" w:type="dxa"/>
              <w:start w:w="80" w:type="dxa"/>
              <w:bottom w:w="75" w:type="dxa"/>
              <w:end w:w="80" w:type="dxa"/>
            </w:tcMar>
            <w:vAlign w:val="top"/>
          </w:tcPr>
          <w:p>
            <w:pPr>
              <w:spacing w:after="0"/>
            </w:pPr>
            <w:r>
              <w:rPr>
                <w:rFonts w:ascii="Arial" w:hAnsi="Arial"/>
                <w:b w:val="0"/>
                <w:sz w:val="15"/>
              </w:rPr>
              <w:t>~1.0</w:t>
            </w:r>
          </w:p>
        </w:tc>
        <w:tc>
          <w:tcPr>
            <w:tcW w:type="dxa" w:w="4932"/>
            <w:tcMar>
              <w:top w:w="75" w:type="dxa"/>
              <w:start w:w="80" w:type="dxa"/>
              <w:bottom w:w="75" w:type="dxa"/>
              <w:end w:w="80" w:type="dxa"/>
            </w:tcMar>
            <w:vAlign w:val="top"/>
          </w:tcPr>
          <w:p>
            <w:pPr>
              <w:spacing w:after="0"/>
            </w:pPr>
            <w:r>
              <w:rPr>
                <w:rFonts w:ascii="Arial" w:hAnsi="Arial"/>
                <w:b w:val="0"/>
                <w:sz w:val="15"/>
              </w:rPr>
              <w:t>Research-level evidence; not equivalent to live P&amp;L.</w:t>
            </w:r>
          </w:p>
        </w:tc>
      </w:tr>
      <w:tr>
        <w:tc>
          <w:tcPr>
            <w:tcW w:type="dxa" w:w="2835"/>
            <w:tcMar>
              <w:top w:w="75" w:type="dxa"/>
              <w:start w:w="80" w:type="dxa"/>
              <w:bottom w:w="75" w:type="dxa"/>
              <w:end w:w="80" w:type="dxa"/>
            </w:tcMar>
            <w:vAlign w:val="top"/>
          </w:tcPr>
          <w:p>
            <w:pPr>
              <w:spacing w:after="0"/>
            </w:pPr>
            <w:r>
              <w:rPr>
                <w:rFonts w:ascii="Arial" w:hAnsi="Arial"/>
                <w:b/>
                <w:sz w:val="15"/>
              </w:rPr>
              <w:t>Sharpe under +2s latency stress</w:t>
            </w:r>
          </w:p>
        </w:tc>
        <w:tc>
          <w:tcPr>
            <w:tcW w:type="dxa" w:w="1984"/>
            <w:tcMar>
              <w:top w:w="75" w:type="dxa"/>
              <w:start w:w="80" w:type="dxa"/>
              <w:bottom w:w="75" w:type="dxa"/>
              <w:end w:w="80" w:type="dxa"/>
            </w:tcMar>
            <w:vAlign w:val="top"/>
          </w:tcPr>
          <w:p>
            <w:pPr>
              <w:spacing w:after="0"/>
            </w:pPr>
            <w:r>
              <w:rPr>
                <w:rFonts w:ascii="Arial" w:hAnsi="Arial"/>
                <w:b w:val="0"/>
                <w:sz w:val="15"/>
              </w:rPr>
              <w:t>~0.5</w:t>
            </w:r>
          </w:p>
        </w:tc>
        <w:tc>
          <w:tcPr>
            <w:tcW w:type="dxa" w:w="4932"/>
            <w:tcMar>
              <w:top w:w="75" w:type="dxa"/>
              <w:start w:w="80" w:type="dxa"/>
              <w:bottom w:w="75" w:type="dxa"/>
              <w:end w:w="80" w:type="dxa"/>
            </w:tcMar>
            <w:vAlign w:val="top"/>
          </w:tcPr>
          <w:p>
            <w:pPr>
              <w:spacing w:after="0"/>
            </w:pPr>
            <w:r>
              <w:rPr>
                <w:rFonts w:ascii="Arial" w:hAnsi="Arial"/>
                <w:b w:val="0"/>
                <w:sz w:val="15"/>
              </w:rPr>
              <w:t>Edge materially degraded.</w:t>
            </w:r>
          </w:p>
        </w:tc>
      </w:tr>
      <w:tr>
        <w:tc>
          <w:tcPr>
            <w:tcW w:type="dxa" w:w="2835"/>
            <w:tcMar>
              <w:top w:w="75" w:type="dxa"/>
              <w:start w:w="80" w:type="dxa"/>
              <w:bottom w:w="75" w:type="dxa"/>
              <w:end w:w="80" w:type="dxa"/>
            </w:tcMar>
            <w:vAlign w:val="top"/>
          </w:tcPr>
          <w:p>
            <w:pPr>
              <w:spacing w:after="0"/>
            </w:pPr>
            <w:r>
              <w:rPr>
                <w:rFonts w:ascii="Arial" w:hAnsi="Arial"/>
                <w:b/>
                <w:sz w:val="15"/>
              </w:rPr>
              <w:t>Sharpe under 1.5x costs</w:t>
            </w:r>
          </w:p>
        </w:tc>
        <w:tc>
          <w:tcPr>
            <w:tcW w:type="dxa" w:w="1984"/>
            <w:tcMar>
              <w:top w:w="75" w:type="dxa"/>
              <w:start w:w="80" w:type="dxa"/>
              <w:bottom w:w="75" w:type="dxa"/>
              <w:end w:w="80" w:type="dxa"/>
            </w:tcMar>
            <w:vAlign w:val="top"/>
          </w:tcPr>
          <w:p>
            <w:pPr>
              <w:spacing w:after="0"/>
            </w:pPr>
            <w:r>
              <w:rPr>
                <w:rFonts w:ascii="Arial" w:hAnsi="Arial"/>
                <w:b w:val="0"/>
                <w:sz w:val="15"/>
              </w:rPr>
              <w:t>~0.4</w:t>
            </w:r>
          </w:p>
        </w:tc>
        <w:tc>
          <w:tcPr>
            <w:tcW w:type="dxa" w:w="4932"/>
            <w:tcMar>
              <w:top w:w="75" w:type="dxa"/>
              <w:start w:w="80" w:type="dxa"/>
              <w:bottom w:w="75" w:type="dxa"/>
              <w:end w:w="80" w:type="dxa"/>
            </w:tcMar>
            <w:vAlign w:val="top"/>
          </w:tcPr>
          <w:p>
            <w:pPr>
              <w:spacing w:after="0"/>
            </w:pPr>
            <w:r>
              <w:rPr>
                <w:rFonts w:ascii="Arial" w:hAnsi="Arial"/>
                <w:b w:val="0"/>
                <w:sz w:val="15"/>
              </w:rPr>
              <w:t>Economics are sensitive to cost assumptions.</w:t>
            </w:r>
          </w:p>
        </w:tc>
      </w:tr>
    </w:tbl>
    <w:p>
      <w:pPr>
        <w:spacing w:after="0"/>
      </w:pPr>
    </w:p>
    <w:p>
      <w:pPr>
        <w:pStyle w:val="Heading2"/>
        <w:keepNext/>
        <w:spacing w:before="160" w:after="100"/>
      </w:pPr>
      <w:r>
        <w:rPr>
          <w:rFonts w:ascii="Arial" w:hAnsi="Arial"/>
          <w:b/>
          <w:sz w:val="25"/>
        </w:rPr>
        <w:t>1.19 Main challenges</w:t>
      </w:r>
    </w:p>
    <w:p>
      <w:pPr>
        <w:pStyle w:val="ListBullet"/>
        <w:spacing w:after="50" w:line="247" w:lineRule="auto"/>
      </w:pPr>
      <w:r>
        <w:rPr>
          <w:rFonts w:ascii="Arial" w:hAnsi="Arial"/>
        </w:rPr>
        <w:t>Timestamp correctness: event time versus receive time, late corrections and clock synchronisation.</w:t>
      </w:r>
    </w:p>
    <w:p>
      <w:pPr>
        <w:pStyle w:val="ListBullet"/>
        <w:spacing w:after="50" w:line="247" w:lineRule="auto"/>
      </w:pPr>
      <w:r>
        <w:rPr>
          <w:rFonts w:ascii="Arial" w:hAnsi="Arial"/>
        </w:rPr>
        <w:t>Fragmented FX liquidity: there is no single universal executable consolidated book.</w:t>
      </w:r>
    </w:p>
    <w:p>
      <w:pPr>
        <w:pStyle w:val="ListBullet"/>
        <w:spacing w:after="50" w:line="247" w:lineRule="auto"/>
      </w:pPr>
      <w:r>
        <w:rPr>
          <w:rFonts w:ascii="Arial" w:hAnsi="Arial"/>
        </w:rPr>
        <w:t>Overlapping labels: huge row counts overstate independent evidence.</w:t>
      </w:r>
    </w:p>
    <w:p>
      <w:pPr>
        <w:pStyle w:val="ListBullet"/>
        <w:spacing w:after="50" w:line="247" w:lineRule="auto"/>
      </w:pPr>
      <w:r>
        <w:rPr>
          <w:rFonts w:ascii="Arial" w:hAnsi="Arial"/>
        </w:rPr>
        <w:t>Signal endogeneity: client flow may react to price rather than lead it.</w:t>
      </w:r>
    </w:p>
    <w:p>
      <w:pPr>
        <w:pStyle w:val="ListBullet"/>
        <w:spacing w:after="50" w:line="247" w:lineRule="auto"/>
      </w:pPr>
      <w:r>
        <w:rPr>
          <w:rFonts w:ascii="Arial" w:hAnsi="Arial"/>
        </w:rPr>
        <w:t>Cross-venue stale quotes: easy source of false lead-lag alpha.</w:t>
      </w:r>
    </w:p>
    <w:p>
      <w:pPr>
        <w:pStyle w:val="ListBullet"/>
        <w:spacing w:after="50" w:line="247" w:lineRule="auto"/>
      </w:pPr>
      <w:r>
        <w:rPr>
          <w:rFonts w:ascii="Arial" w:hAnsi="Arial"/>
        </w:rPr>
        <w:t>Non-stationarity: behaviour changes by session, volatility regime, client mix and market structure.</w:t>
      </w:r>
    </w:p>
    <w:p>
      <w:pPr>
        <w:pStyle w:val="ListBullet"/>
        <w:spacing w:after="50" w:line="247" w:lineRule="auto"/>
      </w:pPr>
      <w:r>
        <w:rPr>
          <w:rFonts w:ascii="Arial" w:hAnsi="Arial"/>
        </w:rPr>
        <w:t>Execution realism: mid-price prediction can look good while executable P&amp;L is negative.</w:t>
      </w:r>
    </w:p>
    <w:p>
      <w:pPr>
        <w:pStyle w:val="ListBullet"/>
        <w:spacing w:after="50" w:line="247" w:lineRule="auto"/>
      </w:pPr>
      <w:r>
        <w:rPr>
          <w:rFonts w:ascii="Arial" w:hAnsi="Arial"/>
        </w:rPr>
        <w:t>Multiple testing: many windows, pairs and horizons can create a false discovery if the search process is not controlled.</w:t>
      </w:r>
    </w:p>
    <w:p>
      <w:pPr>
        <w:pStyle w:val="Heading2"/>
        <w:keepNext/>
        <w:spacing w:before="160" w:after="100"/>
      </w:pPr>
      <w:r>
        <w:rPr>
          <w:rFonts w:ascii="Arial" w:hAnsi="Arial"/>
          <w:b/>
          <w:sz w:val="25"/>
        </w:rPr>
        <w:t>1.20 Limitations</w:t>
      </w:r>
    </w:p>
    <w:p>
      <w:pPr>
        <w:pStyle w:val="ListBullet"/>
        <w:spacing w:after="50" w:line="247" w:lineRule="auto"/>
      </w:pPr>
      <w:r>
        <w:rPr>
          <w:rFonts w:ascii="Arial" w:hAnsi="Arial"/>
        </w:rPr>
        <w:t>The mid target measures price formation, not the actual fill price available to a strategy.</w:t>
      </w:r>
    </w:p>
    <w:p>
      <w:pPr>
        <w:pStyle w:val="ListBullet"/>
        <w:spacing w:after="50" w:line="247" w:lineRule="auto"/>
      </w:pPr>
      <w:r>
        <w:rPr>
          <w:rFonts w:ascii="Arial" w:hAnsi="Arial"/>
        </w:rPr>
        <w:t>The training example assumes a simple execution-cost model; real fills depend on venue, size, queue/last-look, rejection and hedging behaviour.</w:t>
      </w:r>
    </w:p>
    <w:p>
      <w:pPr>
        <w:pStyle w:val="ListBullet"/>
        <w:spacing w:after="50" w:line="247" w:lineRule="auto"/>
      </w:pPr>
      <w:r>
        <w:rPr>
          <w:rFonts w:ascii="Arial" w:hAnsi="Arial"/>
        </w:rPr>
        <w:t>Observational client flow cannot by itself prove that flow causes the price move.</w:t>
      </w:r>
    </w:p>
    <w:p>
      <w:pPr>
        <w:pStyle w:val="ListBullet"/>
        <w:spacing w:after="50" w:line="247" w:lineRule="auto"/>
      </w:pPr>
      <w:r>
        <w:rPr>
          <w:rFonts w:ascii="Arial" w:hAnsi="Arial"/>
        </w:rPr>
        <w:t>The stack may improve predictive metrics but add operational complexity that is not justified by a small OOS gain.</w:t>
      </w:r>
    </w:p>
    <w:p>
      <w:pPr>
        <w:pStyle w:val="ListBullet"/>
        <w:spacing w:after="50" w:line="247" w:lineRule="auto"/>
      </w:pPr>
      <w:r>
        <w:rPr>
          <w:rFonts w:ascii="Arial" w:hAnsi="Arial"/>
        </w:rPr>
        <w:t>Any strong result confined to one period, pair or session should be treated as fragile.</w:t>
      </w:r>
    </w:p>
    <w:p>
      <w:pPr>
        <w:pStyle w:val="Heading2"/>
        <w:keepNext/>
        <w:spacing w:before="160" w:after="100"/>
      </w:pPr>
      <w:r>
        <w:rPr>
          <w:rFonts w:ascii="Arial" w:hAnsi="Arial"/>
          <w:b/>
          <w:sz w:val="25"/>
        </w:rPr>
        <w:t>1.21 What I would do differently today</w:t>
      </w:r>
    </w:p>
    <w:p>
      <w:pPr>
        <w:pStyle w:val="ListBullet"/>
        <w:spacing w:after="50" w:line="247" w:lineRule="auto"/>
      </w:pPr>
      <w:r>
        <w:rPr>
          <w:rFonts w:ascii="Arial" w:hAnsi="Arial"/>
        </w:rPr>
        <w:t>Keep the ElasticNet and simple public-data baseline as mandatory controls, then test a causal TCN/Transformer only if effective sample size and latency justify it.</w:t>
      </w:r>
    </w:p>
    <w:p>
      <w:pPr>
        <w:pStyle w:val="ListBullet"/>
        <w:spacing w:after="50" w:line="247" w:lineRule="auto"/>
      </w:pPr>
      <w:r>
        <w:rPr>
          <w:rFonts w:ascii="Arial" w:hAnsi="Arial"/>
        </w:rPr>
        <w:t>Use an event-time representation as well as a 1-second clock so the model can distinguish bursts of activity from quiet periods.</w:t>
      </w:r>
    </w:p>
    <w:p>
      <w:pPr>
        <w:pStyle w:val="ListBullet"/>
        <w:spacing w:after="50" w:line="247" w:lineRule="auto"/>
      </w:pPr>
      <w:r>
        <w:rPr>
          <w:rFonts w:ascii="Arial" w:hAnsi="Arial"/>
        </w:rPr>
        <w:t>Model predictive uncertainty or quantiles, not only the conditional mean, and use uncertainty in the trade threshold.</w:t>
      </w:r>
    </w:p>
    <w:p>
      <w:pPr>
        <w:pStyle w:val="ListBullet"/>
        <w:spacing w:after="50" w:line="247" w:lineRule="auto"/>
      </w:pPr>
      <w:r>
        <w:rPr>
          <w:rFonts w:ascii="Arial" w:hAnsi="Arial"/>
        </w:rPr>
        <w:t>Use a first-class point-in-time feature store / event replay framework with receive-time contracts and automated future-perturbation leakage tests.</w:t>
      </w:r>
    </w:p>
    <w:p>
      <w:pPr>
        <w:pStyle w:val="ListBullet"/>
        <w:spacing w:after="50" w:line="247" w:lineRule="auto"/>
      </w:pPr>
      <w:r>
        <w:rPr>
          <w:rFonts w:ascii="Arial" w:hAnsi="Arial"/>
        </w:rPr>
        <w:t>Pre-register primary horizons and ablations before the final test to reduce research degrees of freedom.</w:t>
      </w:r>
    </w:p>
    <w:p>
      <w:pPr>
        <w:pStyle w:val="ListBullet"/>
        <w:spacing w:after="50" w:line="247" w:lineRule="auto"/>
      </w:pPr>
      <w:r>
        <w:rPr>
          <w:rFonts w:ascii="Arial" w:hAnsi="Arial"/>
        </w:rPr>
        <w:t>Evaluate the complete decision policy with realistic venue and execution simulation rather than treating forecast metrics as the endpoint.</w:t>
      </w:r>
    </w:p>
    <w:p>
      <w:pPr>
        <w:pStyle w:val="Heading2"/>
        <w:keepNext/>
        <w:spacing w:before="160" w:after="100"/>
      </w:pPr>
      <w:r>
        <w:rPr>
          <w:rFonts w:ascii="Arial" w:hAnsi="Arial"/>
          <w:b/>
          <w:sz w:val="25"/>
        </w:rPr>
        <w:t>1.22 Interview defence</w:t>
      </w:r>
    </w:p>
    <w:p>
      <w:pPr>
        <w:spacing w:after="40"/>
      </w:pPr>
      <w:r>
        <w:rPr>
          <w:rFonts w:ascii="Arial" w:hAnsi="Arial"/>
          <w:b/>
          <w:sz w:val="18"/>
        </w:rPr>
        <w:t>Q: What exactly did you predict?</w:t>
      </w:r>
    </w:p>
    <w:p>
      <w:pPr>
        <w:spacing w:after="100"/>
        <w:ind w:left="227"/>
      </w:pPr>
      <w:r>
        <w:rPr>
          <w:rFonts w:ascii="Arial" w:hAnsi="Arial"/>
          <w:sz w:val="18"/>
        </w:rPr>
        <w:t>A: A future change in a defined FX reference mid over a fixed short horizon. In the training reconstruction I use a 30-second forward log return in basis points, but I would only state the actual pair and horizon once verified.</w:t>
      </w:r>
    </w:p>
    <w:p>
      <w:pPr>
        <w:spacing w:after="40"/>
      </w:pPr>
      <w:r>
        <w:rPr>
          <w:rFonts w:ascii="Arial" w:hAnsi="Arial"/>
          <w:b/>
          <w:sz w:val="18"/>
        </w:rPr>
        <w:t>Q: Why client flow?</w:t>
      </w:r>
    </w:p>
    <w:p>
      <w:pPr>
        <w:spacing w:after="100"/>
        <w:ind w:left="227"/>
      </w:pPr>
      <w:r>
        <w:rPr>
          <w:rFonts w:ascii="Arial" w:hAnsi="Arial"/>
          <w:sz w:val="18"/>
        </w:rPr>
        <w:t>A: It may proxy directional demand, information or dealer hedging pressure. But it can also react to price, so the correct test is incremental OOS value after controlling for recent returns, volatility and market state.</w:t>
      </w:r>
    </w:p>
    <w:p>
      <w:pPr>
        <w:spacing w:after="40"/>
      </w:pPr>
      <w:r>
        <w:rPr>
          <w:rFonts w:ascii="Arial" w:hAnsi="Arial"/>
          <w:b/>
          <w:sz w:val="18"/>
        </w:rPr>
        <w:t>Q: Why mid-price if you cannot trade at mid?</w:t>
      </w:r>
    </w:p>
    <w:p>
      <w:pPr>
        <w:spacing w:after="100"/>
        <w:ind w:left="227"/>
      </w:pPr>
      <w:r>
        <w:rPr>
          <w:rFonts w:ascii="Arial" w:hAnsi="Arial"/>
          <w:sz w:val="18"/>
        </w:rPr>
        <w:t>A: It is a clean price-formation target. Tradability is a second layer: we then apply executable bid/ask, latency, slippage and impact and only trade when the expected edge clears those costs.</w:t>
      </w:r>
    </w:p>
    <w:p>
      <w:pPr>
        <w:spacing w:after="40"/>
      </w:pPr>
      <w:r>
        <w:rPr>
          <w:rFonts w:ascii="Arial" w:hAnsi="Arial"/>
          <w:b/>
          <w:sz w:val="18"/>
        </w:rPr>
        <w:t>Q: Was it alpha or momentum?</w:t>
      </w:r>
    </w:p>
    <w:p>
      <w:pPr>
        <w:spacing w:after="100"/>
        <w:ind w:left="227"/>
      </w:pPr>
      <w:r>
        <w:rPr>
          <w:rFonts w:ascii="Arial" w:hAnsi="Arial"/>
          <w:sz w:val="18"/>
        </w:rPr>
        <w:t>A: I would compare a market-only model with the same model plus client flow. If the proprietary block adds stable OOS information after recent-return controls, it is incremental to simple momentum; that still does not prove causality.</w:t>
      </w:r>
    </w:p>
    <w:p>
      <w:pPr>
        <w:spacing w:after="40"/>
      </w:pPr>
      <w:r>
        <w:rPr>
          <w:rFonts w:ascii="Arial" w:hAnsi="Arial"/>
          <w:b/>
          <w:sz w:val="18"/>
        </w:rPr>
        <w:t>Q: Why not a Transformer?</w:t>
      </w:r>
    </w:p>
    <w:p>
      <w:pPr>
        <w:spacing w:after="100"/>
        <w:ind w:left="227"/>
      </w:pPr>
      <w:r>
        <w:rPr>
          <w:rFonts w:ascii="Arial" w:hAnsi="Arial"/>
          <w:sz w:val="18"/>
        </w:rPr>
        <w:t>A: For a low-signal short-horizon problem, a regularised linear model is a strong baseline because it is stable and easy to diagnose. A more complex model needs to show durable incremental value after equal-information, equal-cost validation.</w:t>
      </w:r>
    </w:p>
    <w:p>
      <w:r>
        <w:br w:type="page"/>
      </w:r>
    </w:p>
    <w:p>
      <w:pPr>
        <w:pStyle w:val="Heading1"/>
        <w:keepNext/>
        <w:spacing w:before="240" w:after="100"/>
      </w:pPr>
      <w:r>
        <w:rPr>
          <w:rFonts w:ascii="Arial" w:hAnsi="Arial"/>
          <w:b/>
          <w:sz w:val="30"/>
        </w:rPr>
        <w:t>2. Signal research and validation</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CV CLAIM</w:t>
            </w:r>
          </w:p>
          <w:p>
            <w:pPr>
              <w:spacing w:after="0"/>
            </w:pPr>
            <w:r>
              <w:rPr>
                <w:rFonts w:ascii="Arial" w:hAnsi="Arial"/>
                <w:sz w:val="18"/>
              </w:rPr>
              <w:t>Engineered client-flow, order-book imbalance and cross-venue pricing features; developed regularised ElasticNet candidates, hyperparameter optimisation and stacked predictions, with temporal out-of-sample validation against realised price moves.</w:t>
            </w:r>
          </w:p>
        </w:tc>
      </w:tr>
    </w:tbl>
    <w:p>
      <w:pPr>
        <w:spacing w:after="0"/>
      </w:pPr>
    </w:p>
    <w:p>
      <w:pPr>
        <w:keepNext w:val="0"/>
        <w:spacing w:after="100" w:line="252" w:lineRule="auto"/>
      </w:pPr>
      <w:r>
        <w:rPr>
          <w:rFonts w:ascii="Arial" w:hAnsi="Arial"/>
          <w:i w:val="0"/>
        </w:rPr>
        <w:t>This is best presented as the research-methodology layer of the FX project rather than a separate unrelated project. Its purpose in interview is to demonstrate how you moved from an economic hypothesis to a reproducible, leakage-controlled result.</w:t>
      </w:r>
    </w:p>
    <w:p>
      <w:pPr>
        <w:pStyle w:val="Heading2"/>
        <w:keepNext/>
        <w:spacing w:before="160" w:after="100"/>
      </w:pPr>
      <w:r>
        <w:rPr>
          <w:rFonts w:ascii="Arial" w:hAnsi="Arial"/>
          <w:b/>
          <w:sz w:val="25"/>
        </w:rPr>
        <w:t>2.1 Research workflow</w:t>
      </w:r>
    </w:p>
    <w:p>
      <w:pPr>
        <w:spacing w:after="50"/>
        <w:ind w:left="312" w:hanging="255"/>
      </w:pPr>
      <w:r>
        <w:rPr>
          <w:rFonts w:ascii="Arial" w:hAnsi="Arial"/>
        </w:rPr>
        <w:t>1.  Write the economic hypothesis before looking at performance: directional flow may precede pressure; shallow liquidity may amplify it; cross-venue gaps may close.</w:t>
      </w:r>
    </w:p>
    <w:p>
      <w:pPr>
        <w:spacing w:after="50"/>
        <w:ind w:left="312" w:hanging="255"/>
      </w:pPr>
      <w:r>
        <w:rPr>
          <w:rFonts w:ascii="Arial" w:hAnsi="Arial"/>
        </w:rPr>
        <w:t>2.  Define target, timestamp, information cutoff and units.</w:t>
      </w:r>
    </w:p>
    <w:p>
      <w:pPr>
        <w:spacing w:after="50"/>
        <w:ind w:left="312" w:hanging="255"/>
      </w:pPr>
      <w:r>
        <w:rPr>
          <w:rFonts w:ascii="Arial" w:hAnsi="Arial"/>
        </w:rPr>
        <w:t>3.  Build past-only feature windows and an explicit point-in-time join.</w:t>
      </w:r>
    </w:p>
    <w:p>
      <w:pPr>
        <w:spacing w:after="50"/>
        <w:ind w:left="312" w:hanging="255"/>
      </w:pPr>
      <w:r>
        <w:rPr>
          <w:rFonts w:ascii="Arial" w:hAnsi="Arial"/>
        </w:rPr>
        <w:t>4.  Fit simple baselines first.</w:t>
      </w:r>
    </w:p>
    <w:p>
      <w:pPr>
        <w:spacing w:after="50"/>
        <w:ind w:left="312" w:hanging="255"/>
      </w:pPr>
      <w:r>
        <w:rPr>
          <w:rFonts w:ascii="Arial" w:hAnsi="Arial"/>
        </w:rPr>
        <w:t>5.  Tune regularisation only inside chronological folds.</w:t>
      </w:r>
    </w:p>
    <w:p>
      <w:pPr>
        <w:spacing w:after="50"/>
        <w:ind w:left="312" w:hanging="255"/>
      </w:pPr>
      <w:r>
        <w:rPr>
          <w:rFonts w:ascii="Arial" w:hAnsi="Arial"/>
        </w:rPr>
        <w:t>6.  Generate genuinely OOS predictions for any stacker.</w:t>
      </w:r>
    </w:p>
    <w:p>
      <w:pPr>
        <w:spacing w:after="50"/>
        <w:ind w:left="312" w:hanging="255"/>
      </w:pPr>
      <w:r>
        <w:rPr>
          <w:rFonts w:ascii="Arial" w:hAnsi="Arial"/>
        </w:rPr>
        <w:t>7.  Freeze the research process before touching the final period.</w:t>
      </w:r>
    </w:p>
    <w:p>
      <w:pPr>
        <w:spacing w:after="50"/>
        <w:ind w:left="312" w:hanging="255"/>
      </w:pPr>
      <w:r>
        <w:rPr>
          <w:rFonts w:ascii="Arial" w:hAnsi="Arial"/>
        </w:rPr>
        <w:t>8.  Ablate feature blocks and stress latency/cost assumptions.</w:t>
      </w:r>
    </w:p>
    <w:p>
      <w:pPr>
        <w:spacing w:after="50"/>
        <w:ind w:left="312" w:hanging="255"/>
      </w:pPr>
      <w:r>
        <w:rPr>
          <w:rFonts w:ascii="Arial" w:hAnsi="Arial"/>
        </w:rPr>
        <w:t>9.  Report stability and uncertainty across days/regimes, not only one average score.</w:t>
      </w:r>
    </w:p>
    <w:p>
      <w:pPr>
        <w:pStyle w:val="Heading2"/>
        <w:keepNext/>
        <w:spacing w:before="160" w:after="100"/>
      </w:pPr>
      <w:r>
        <w:rPr>
          <w:rFonts w:ascii="Arial" w:hAnsi="Arial"/>
          <w:b/>
          <w:sz w:val="25"/>
        </w:rPr>
        <w:t>2.2 Feature research details</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1701"/>
            <w:shd w:fill="D9E1F2"/>
            <w:tcMar>
              <w:top w:w="80" w:type="dxa"/>
              <w:start w:w="80" w:type="dxa"/>
              <w:bottom w:w="80" w:type="dxa"/>
              <w:end w:w="80" w:type="dxa"/>
            </w:tcMar>
            <w:vAlign w:val="center"/>
          </w:tcPr>
          <w:p>
            <w:pPr>
              <w:jc w:val="left"/>
            </w:pPr>
            <w:r>
              <w:rPr>
                <w:rFonts w:ascii="Arial" w:hAnsi="Arial"/>
                <w:b/>
                <w:sz w:val="14"/>
              </w:rPr>
              <w:t>Feature family</w:t>
            </w:r>
          </w:p>
        </w:tc>
        <w:tc>
          <w:tcPr>
            <w:tcW w:type="dxa" w:w="2381"/>
            <w:shd w:fill="D9E1F2"/>
            <w:tcMar>
              <w:top w:w="80" w:type="dxa"/>
              <w:start w:w="80" w:type="dxa"/>
              <w:bottom w:w="80" w:type="dxa"/>
              <w:end w:w="80" w:type="dxa"/>
            </w:tcMar>
            <w:vAlign w:val="center"/>
          </w:tcPr>
          <w:p>
            <w:pPr>
              <w:jc w:val="left"/>
            </w:pPr>
            <w:r>
              <w:rPr>
                <w:rFonts w:ascii="Arial" w:hAnsi="Arial"/>
                <w:b/>
                <w:sz w:val="14"/>
              </w:rPr>
              <w:t>Examples</w:t>
            </w:r>
          </w:p>
        </w:tc>
        <w:tc>
          <w:tcPr>
            <w:tcW w:type="dxa" w:w="3061"/>
            <w:shd w:fill="D9E1F2"/>
            <w:tcMar>
              <w:top w:w="80" w:type="dxa"/>
              <w:start w:w="80" w:type="dxa"/>
              <w:bottom w:w="80" w:type="dxa"/>
              <w:end w:w="80" w:type="dxa"/>
            </w:tcMar>
            <w:vAlign w:val="center"/>
          </w:tcPr>
          <w:p>
            <w:pPr>
              <w:jc w:val="left"/>
            </w:pPr>
            <w:r>
              <w:rPr>
                <w:rFonts w:ascii="Arial" w:hAnsi="Arial"/>
                <w:b/>
                <w:sz w:val="14"/>
              </w:rPr>
              <w:t>Hypothesis</w:t>
            </w:r>
          </w:p>
        </w:tc>
        <w:tc>
          <w:tcPr>
            <w:tcW w:type="dxa" w:w="2608"/>
            <w:shd w:fill="D9E1F2"/>
            <w:tcMar>
              <w:top w:w="80" w:type="dxa"/>
              <w:start w:w="80" w:type="dxa"/>
              <w:bottom w:w="80" w:type="dxa"/>
              <w:end w:w="80" w:type="dxa"/>
            </w:tcMar>
            <w:vAlign w:val="center"/>
          </w:tcPr>
          <w:p>
            <w:pPr>
              <w:jc w:val="left"/>
            </w:pPr>
            <w:r>
              <w:rPr>
                <w:rFonts w:ascii="Arial" w:hAnsi="Arial"/>
                <w:b/>
                <w:sz w:val="14"/>
              </w:rPr>
              <w:t>Failure mode</w:t>
            </w:r>
          </w:p>
        </w:tc>
      </w:tr>
      <w:tr>
        <w:tc>
          <w:tcPr>
            <w:tcW w:type="dxa" w:w="1701"/>
            <w:tcMar>
              <w:top w:w="75" w:type="dxa"/>
              <w:start w:w="80" w:type="dxa"/>
              <w:bottom w:w="75" w:type="dxa"/>
              <w:end w:w="80" w:type="dxa"/>
            </w:tcMar>
            <w:vAlign w:val="top"/>
          </w:tcPr>
          <w:p>
            <w:pPr>
              <w:spacing w:after="0"/>
            </w:pPr>
            <w:r>
              <w:rPr>
                <w:rFonts w:ascii="Arial" w:hAnsi="Arial"/>
                <w:b/>
                <w:sz w:val="14"/>
              </w:rPr>
              <w:t>Client flow</w:t>
            </w:r>
          </w:p>
        </w:tc>
        <w:tc>
          <w:tcPr>
            <w:tcW w:type="dxa" w:w="2381"/>
            <w:tcMar>
              <w:top w:w="75" w:type="dxa"/>
              <w:start w:w="80" w:type="dxa"/>
              <w:bottom w:w="75" w:type="dxa"/>
              <w:end w:w="80" w:type="dxa"/>
            </w:tcMar>
            <w:vAlign w:val="top"/>
          </w:tcPr>
          <w:p>
            <w:pPr>
              <w:spacing w:after="0"/>
            </w:pPr>
            <w:r>
              <w:rPr>
                <w:rFonts w:ascii="Arial" w:hAnsi="Arial"/>
                <w:b w:val="0"/>
                <w:sz w:val="14"/>
              </w:rPr>
              <w:t>signed volume, count imbalance, EW flow, flow surprise</w:t>
            </w:r>
          </w:p>
        </w:tc>
        <w:tc>
          <w:tcPr>
            <w:tcW w:type="dxa" w:w="3061"/>
            <w:tcMar>
              <w:top w:w="75" w:type="dxa"/>
              <w:start w:w="80" w:type="dxa"/>
              <w:bottom w:w="75" w:type="dxa"/>
              <w:end w:w="80" w:type="dxa"/>
            </w:tcMar>
            <w:vAlign w:val="top"/>
          </w:tcPr>
          <w:p>
            <w:pPr>
              <w:spacing w:after="0"/>
            </w:pPr>
            <w:r>
              <w:rPr>
                <w:rFonts w:ascii="Arial" w:hAnsi="Arial"/>
                <w:b w:val="0"/>
                <w:sz w:val="14"/>
              </w:rPr>
              <w:t>Persistent demand / hedging pressure can lead price</w:t>
            </w:r>
          </w:p>
        </w:tc>
        <w:tc>
          <w:tcPr>
            <w:tcW w:type="dxa" w:w="2608"/>
            <w:tcMar>
              <w:top w:w="75" w:type="dxa"/>
              <w:start w:w="80" w:type="dxa"/>
              <w:bottom w:w="75" w:type="dxa"/>
              <w:end w:w="80" w:type="dxa"/>
            </w:tcMar>
            <w:vAlign w:val="top"/>
          </w:tcPr>
          <w:p>
            <w:pPr>
              <w:spacing w:after="0"/>
            </w:pPr>
            <w:r>
              <w:rPr>
                <w:rFonts w:ascii="Arial" w:hAnsi="Arial"/>
                <w:b w:val="0"/>
                <w:sz w:val="14"/>
              </w:rPr>
              <w:t>Flow can be reactive; segmentation can overfit.</w:t>
            </w:r>
          </w:p>
        </w:tc>
      </w:tr>
      <w:tr>
        <w:tc>
          <w:tcPr>
            <w:tcW w:type="dxa" w:w="1701"/>
            <w:tcMar>
              <w:top w:w="75" w:type="dxa"/>
              <w:start w:w="80" w:type="dxa"/>
              <w:bottom w:w="75" w:type="dxa"/>
              <w:end w:w="80" w:type="dxa"/>
            </w:tcMar>
            <w:vAlign w:val="top"/>
          </w:tcPr>
          <w:p>
            <w:pPr>
              <w:spacing w:after="0"/>
            </w:pPr>
            <w:r>
              <w:rPr>
                <w:rFonts w:ascii="Arial" w:hAnsi="Arial"/>
                <w:b/>
                <w:sz w:val="14"/>
              </w:rPr>
              <w:t>Order book</w:t>
            </w:r>
          </w:p>
        </w:tc>
        <w:tc>
          <w:tcPr>
            <w:tcW w:type="dxa" w:w="2381"/>
            <w:tcMar>
              <w:top w:w="75" w:type="dxa"/>
              <w:start w:w="80" w:type="dxa"/>
              <w:bottom w:w="75" w:type="dxa"/>
              <w:end w:w="80" w:type="dxa"/>
            </w:tcMar>
            <w:vAlign w:val="top"/>
          </w:tcPr>
          <w:p>
            <w:pPr>
              <w:spacing w:after="0"/>
            </w:pPr>
            <w:r>
              <w:rPr>
                <w:rFonts w:ascii="Arial" w:hAnsi="Arial"/>
                <w:b w:val="0"/>
                <w:sz w:val="14"/>
              </w:rPr>
              <w:t>L1/L5 imbalance, microprice deviation, depth slope, cancel/update intensity</w:t>
            </w:r>
          </w:p>
        </w:tc>
        <w:tc>
          <w:tcPr>
            <w:tcW w:type="dxa" w:w="3061"/>
            <w:tcMar>
              <w:top w:w="75" w:type="dxa"/>
              <w:start w:w="80" w:type="dxa"/>
              <w:bottom w:w="75" w:type="dxa"/>
              <w:end w:w="80" w:type="dxa"/>
            </w:tcMar>
            <w:vAlign w:val="top"/>
          </w:tcPr>
          <w:p>
            <w:pPr>
              <w:spacing w:after="0"/>
            </w:pPr>
            <w:r>
              <w:rPr>
                <w:rFonts w:ascii="Arial" w:hAnsi="Arial"/>
                <w:b w:val="0"/>
                <w:sz w:val="14"/>
              </w:rPr>
              <w:t>Asymmetric displayed liquidity may precede short-term pressure</w:t>
            </w:r>
          </w:p>
        </w:tc>
        <w:tc>
          <w:tcPr>
            <w:tcW w:type="dxa" w:w="2608"/>
            <w:tcMar>
              <w:top w:w="75" w:type="dxa"/>
              <w:start w:w="80" w:type="dxa"/>
              <w:bottom w:w="75" w:type="dxa"/>
              <w:end w:w="80" w:type="dxa"/>
            </w:tcMar>
            <w:vAlign w:val="top"/>
          </w:tcPr>
          <w:p>
            <w:pPr>
              <w:spacing w:after="0"/>
            </w:pPr>
            <w:r>
              <w:rPr>
                <w:rFonts w:ascii="Arial" w:hAnsi="Arial"/>
                <w:b w:val="0"/>
                <w:sz w:val="14"/>
              </w:rPr>
              <w:t>Displayed liquidity can cancel; venue view is incomplete.</w:t>
            </w:r>
          </w:p>
        </w:tc>
      </w:tr>
      <w:tr>
        <w:tc>
          <w:tcPr>
            <w:tcW w:type="dxa" w:w="1701"/>
            <w:tcMar>
              <w:top w:w="75" w:type="dxa"/>
              <w:start w:w="80" w:type="dxa"/>
              <w:bottom w:w="75" w:type="dxa"/>
              <w:end w:w="80" w:type="dxa"/>
            </w:tcMar>
            <w:vAlign w:val="top"/>
          </w:tcPr>
          <w:p>
            <w:pPr>
              <w:spacing w:after="0"/>
            </w:pPr>
            <w:r>
              <w:rPr>
                <w:rFonts w:ascii="Arial" w:hAnsi="Arial"/>
                <w:b/>
                <w:sz w:val="14"/>
              </w:rPr>
              <w:t>Cross venue</w:t>
            </w:r>
          </w:p>
        </w:tc>
        <w:tc>
          <w:tcPr>
            <w:tcW w:type="dxa" w:w="2381"/>
            <w:tcMar>
              <w:top w:w="75" w:type="dxa"/>
              <w:start w:w="80" w:type="dxa"/>
              <w:bottom w:w="75" w:type="dxa"/>
              <w:end w:w="80" w:type="dxa"/>
            </w:tcMar>
            <w:vAlign w:val="top"/>
          </w:tcPr>
          <w:p>
            <w:pPr>
              <w:spacing w:after="0"/>
            </w:pPr>
            <w:r>
              <w:rPr>
                <w:rFonts w:ascii="Arial" w:hAnsi="Arial"/>
                <w:b w:val="0"/>
                <w:sz w:val="14"/>
              </w:rPr>
              <w:t>mid gaps, spread gaps, relative depth, quote-age-adjusted lead-lag</w:t>
            </w:r>
          </w:p>
        </w:tc>
        <w:tc>
          <w:tcPr>
            <w:tcW w:type="dxa" w:w="3061"/>
            <w:tcMar>
              <w:top w:w="75" w:type="dxa"/>
              <w:start w:w="80" w:type="dxa"/>
              <w:bottom w:w="75" w:type="dxa"/>
              <w:end w:w="80" w:type="dxa"/>
            </w:tcMar>
            <w:vAlign w:val="top"/>
          </w:tcPr>
          <w:p>
            <w:pPr>
              <w:spacing w:after="0"/>
            </w:pPr>
            <w:r>
              <w:rPr>
                <w:rFonts w:ascii="Arial" w:hAnsi="Arial"/>
                <w:b w:val="0"/>
                <w:sz w:val="14"/>
              </w:rPr>
              <w:t>Fragmented venues incorporate information at different times</w:t>
            </w:r>
          </w:p>
        </w:tc>
        <w:tc>
          <w:tcPr>
            <w:tcW w:type="dxa" w:w="2608"/>
            <w:tcMar>
              <w:top w:w="75" w:type="dxa"/>
              <w:start w:w="80" w:type="dxa"/>
              <w:bottom w:w="75" w:type="dxa"/>
              <w:end w:w="80" w:type="dxa"/>
            </w:tcMar>
            <w:vAlign w:val="top"/>
          </w:tcPr>
          <w:p>
            <w:pPr>
              <w:spacing w:after="0"/>
            </w:pPr>
            <w:r>
              <w:rPr>
                <w:rFonts w:ascii="Arial" w:hAnsi="Arial"/>
                <w:b w:val="0"/>
                <w:sz w:val="14"/>
              </w:rPr>
              <w:t>Stale feeds create fake predictability.</w:t>
            </w:r>
          </w:p>
        </w:tc>
      </w:tr>
      <w:tr>
        <w:tc>
          <w:tcPr>
            <w:tcW w:type="dxa" w:w="1701"/>
            <w:tcMar>
              <w:top w:w="75" w:type="dxa"/>
              <w:start w:w="80" w:type="dxa"/>
              <w:bottom w:w="75" w:type="dxa"/>
              <w:end w:w="80" w:type="dxa"/>
            </w:tcMar>
            <w:vAlign w:val="top"/>
          </w:tcPr>
          <w:p>
            <w:pPr>
              <w:spacing w:after="0"/>
            </w:pPr>
            <w:r>
              <w:rPr>
                <w:rFonts w:ascii="Arial" w:hAnsi="Arial"/>
                <w:b/>
                <w:sz w:val="14"/>
              </w:rPr>
              <w:t>Returns/volatility</w:t>
            </w:r>
          </w:p>
        </w:tc>
        <w:tc>
          <w:tcPr>
            <w:tcW w:type="dxa" w:w="2381"/>
            <w:tcMar>
              <w:top w:w="75" w:type="dxa"/>
              <w:start w:w="80" w:type="dxa"/>
              <w:bottom w:w="75" w:type="dxa"/>
              <w:end w:w="80" w:type="dxa"/>
            </w:tcMar>
            <w:vAlign w:val="top"/>
          </w:tcPr>
          <w:p>
            <w:pPr>
              <w:spacing w:after="0"/>
            </w:pPr>
            <w:r>
              <w:rPr>
                <w:rFonts w:ascii="Arial" w:hAnsi="Arial"/>
                <w:b w:val="0"/>
                <w:sz w:val="14"/>
              </w:rPr>
              <w:t>1s-60s returns, realised vol, range, jump flags</w:t>
            </w:r>
          </w:p>
        </w:tc>
        <w:tc>
          <w:tcPr>
            <w:tcW w:type="dxa" w:w="3061"/>
            <w:tcMar>
              <w:top w:w="75" w:type="dxa"/>
              <w:start w:w="80" w:type="dxa"/>
              <w:bottom w:w="75" w:type="dxa"/>
              <w:end w:w="80" w:type="dxa"/>
            </w:tcMar>
            <w:vAlign w:val="top"/>
          </w:tcPr>
          <w:p>
            <w:pPr>
              <w:spacing w:after="0"/>
            </w:pPr>
            <w:r>
              <w:rPr>
                <w:rFonts w:ascii="Arial" w:hAnsi="Arial"/>
                <w:b w:val="0"/>
                <w:sz w:val="14"/>
              </w:rPr>
              <w:t>Control momentum/reversal and regime</w:t>
            </w:r>
          </w:p>
        </w:tc>
        <w:tc>
          <w:tcPr>
            <w:tcW w:type="dxa" w:w="2608"/>
            <w:tcMar>
              <w:top w:w="75" w:type="dxa"/>
              <w:start w:w="80" w:type="dxa"/>
              <w:bottom w:w="75" w:type="dxa"/>
              <w:end w:w="80" w:type="dxa"/>
            </w:tcMar>
            <w:vAlign w:val="top"/>
          </w:tcPr>
          <w:p>
            <w:pPr>
              <w:spacing w:after="0"/>
            </w:pPr>
            <w:r>
              <w:rPr>
                <w:rFonts w:ascii="Arial" w:hAnsi="Arial"/>
                <w:b w:val="0"/>
                <w:sz w:val="14"/>
              </w:rPr>
              <w:t>Can soak up the same effect attributed to flow.</w:t>
            </w:r>
          </w:p>
        </w:tc>
      </w:tr>
      <w:tr>
        <w:tc>
          <w:tcPr>
            <w:tcW w:type="dxa" w:w="1701"/>
            <w:tcMar>
              <w:top w:w="75" w:type="dxa"/>
              <w:start w:w="80" w:type="dxa"/>
              <w:bottom w:w="75" w:type="dxa"/>
              <w:end w:w="80" w:type="dxa"/>
            </w:tcMar>
            <w:vAlign w:val="top"/>
          </w:tcPr>
          <w:p>
            <w:pPr>
              <w:spacing w:after="0"/>
            </w:pPr>
            <w:r>
              <w:rPr>
                <w:rFonts w:ascii="Arial" w:hAnsi="Arial"/>
                <w:b/>
                <w:sz w:val="14"/>
              </w:rPr>
              <w:t>Context</w:t>
            </w:r>
          </w:p>
        </w:tc>
        <w:tc>
          <w:tcPr>
            <w:tcW w:type="dxa" w:w="2381"/>
            <w:tcMar>
              <w:top w:w="75" w:type="dxa"/>
              <w:start w:w="80" w:type="dxa"/>
              <w:bottom w:w="75" w:type="dxa"/>
              <w:end w:w="80" w:type="dxa"/>
            </w:tcMar>
            <w:vAlign w:val="top"/>
          </w:tcPr>
          <w:p>
            <w:pPr>
              <w:spacing w:after="0"/>
            </w:pPr>
            <w:r>
              <w:rPr>
                <w:rFonts w:ascii="Arial" w:hAnsi="Arial"/>
                <w:b w:val="0"/>
                <w:sz w:val="14"/>
              </w:rPr>
              <w:t>session, day-of-week, scheduled event proximity</w:t>
            </w:r>
          </w:p>
        </w:tc>
        <w:tc>
          <w:tcPr>
            <w:tcW w:type="dxa" w:w="3061"/>
            <w:tcMar>
              <w:top w:w="75" w:type="dxa"/>
              <w:start w:w="80" w:type="dxa"/>
              <w:bottom w:w="75" w:type="dxa"/>
              <w:end w:w="80" w:type="dxa"/>
            </w:tcMar>
            <w:vAlign w:val="top"/>
          </w:tcPr>
          <w:p>
            <w:pPr>
              <w:spacing w:after="0"/>
            </w:pPr>
            <w:r>
              <w:rPr>
                <w:rFonts w:ascii="Arial" w:hAnsi="Arial"/>
                <w:b w:val="0"/>
                <w:sz w:val="14"/>
              </w:rPr>
              <w:t>Signal strength differs by regime</w:t>
            </w:r>
          </w:p>
        </w:tc>
        <w:tc>
          <w:tcPr>
            <w:tcW w:type="dxa" w:w="2608"/>
            <w:tcMar>
              <w:top w:w="75" w:type="dxa"/>
              <w:start w:w="80" w:type="dxa"/>
              <w:bottom w:w="75" w:type="dxa"/>
              <w:end w:w="80" w:type="dxa"/>
            </w:tcMar>
            <w:vAlign w:val="top"/>
          </w:tcPr>
          <w:p>
            <w:pPr>
              <w:spacing w:after="0"/>
            </w:pPr>
            <w:r>
              <w:rPr>
                <w:rFonts w:ascii="Arial" w:hAnsi="Arial"/>
                <w:b w:val="0"/>
                <w:sz w:val="14"/>
              </w:rPr>
              <w:t>Context can become a proxy for sample quirks.</w:t>
            </w:r>
          </w:p>
        </w:tc>
      </w:tr>
    </w:tbl>
    <w:p>
      <w:pPr>
        <w:spacing w:after="0"/>
      </w:pPr>
    </w:p>
    <w:p>
      <w:pPr>
        <w:pStyle w:val="Heading2"/>
        <w:keepNext/>
        <w:spacing w:before="160" w:after="100"/>
      </w:pPr>
      <w:r>
        <w:rPr>
          <w:rFonts w:ascii="Arial" w:hAnsi="Arial"/>
          <w:b/>
          <w:sz w:val="25"/>
        </w:rPr>
        <w:t>2.3 Preprocessing discipline</w:t>
      </w:r>
    </w:p>
    <w:p>
      <w:pPr>
        <w:pStyle w:val="ListBullet"/>
        <w:spacing w:after="50" w:line="247" w:lineRule="auto"/>
      </w:pPr>
      <w:r>
        <w:rPr>
          <w:rFonts w:ascii="Arial" w:hAnsi="Arial"/>
        </w:rPr>
        <w:t>Winsorisation thresholds learned inside the training fold only.</w:t>
      </w:r>
    </w:p>
    <w:p>
      <w:pPr>
        <w:pStyle w:val="ListBullet"/>
        <w:spacing w:after="50" w:line="247" w:lineRule="auto"/>
      </w:pPr>
      <w:r>
        <w:rPr>
          <w:rFonts w:ascii="Arial" w:hAnsi="Arial"/>
        </w:rPr>
        <w:t>Imputation policy learned inside the training fold; missingness flags retained when informative.</w:t>
      </w:r>
    </w:p>
    <w:p>
      <w:pPr>
        <w:pStyle w:val="ListBullet"/>
        <w:spacing w:after="50" w:line="247" w:lineRule="auto"/>
      </w:pPr>
      <w:r>
        <w:rPr>
          <w:rFonts w:ascii="Arial" w:hAnsi="Arial"/>
        </w:rPr>
        <w:t>Standardisation statistics fitted only on the training fold.</w:t>
      </w:r>
    </w:p>
    <w:p>
      <w:pPr>
        <w:pStyle w:val="ListBullet"/>
        <w:spacing w:after="50" w:line="247" w:lineRule="auto"/>
      </w:pPr>
      <w:r>
        <w:rPr>
          <w:rFonts w:ascii="Arial" w:hAnsi="Arial"/>
        </w:rPr>
        <w:t>Cross-sectional or rolling normalisation uses only past information.</w:t>
      </w:r>
    </w:p>
    <w:p>
      <w:pPr>
        <w:pStyle w:val="ListBullet"/>
        <w:spacing w:after="50" w:line="247" w:lineRule="auto"/>
      </w:pPr>
      <w:r>
        <w:rPr>
          <w:rFonts w:ascii="Arial" w:hAnsi="Arial"/>
        </w:rPr>
        <w:t>Feature sign tests: flip client side / instrument side in unit tests and verify expected transformations.</w:t>
      </w:r>
    </w:p>
    <w:p>
      <w:pPr>
        <w:pStyle w:val="ListBullet"/>
        <w:spacing w:after="50" w:line="247" w:lineRule="auto"/>
      </w:pPr>
      <w:r>
        <w:rPr>
          <w:rFonts w:ascii="Arial" w:hAnsi="Arial"/>
        </w:rPr>
        <w:t>Availability-time tests: perturb future rows and confirm predictions at earlier timestamps do not change.</w:t>
      </w:r>
    </w:p>
    <w:p>
      <w:pPr>
        <w:pStyle w:val="Heading2"/>
        <w:keepNext/>
        <w:spacing w:before="160" w:after="100"/>
      </w:pPr>
      <w:r>
        <w:rPr>
          <w:rFonts w:ascii="Arial" w:hAnsi="Arial"/>
          <w:b/>
          <w:sz w:val="25"/>
        </w:rPr>
        <w:t>2.4 Nested temporal hyperparameter optimisation</w:t>
      </w:r>
    </w:p>
    <w:p>
      <w:pPr>
        <w:keepNext w:val="0"/>
        <w:spacing w:after="100" w:line="252" w:lineRule="auto"/>
      </w:pPr>
      <w:r>
        <w:rPr>
          <w:rFonts w:ascii="Arial" w:hAnsi="Arial"/>
          <w:i w:val="0"/>
        </w:rPr>
        <w:t>The important point is not whether the optimiser is grid search, random search or Bayesian optimisation. The important point is where the optimiser is allowed to see outcomes. Hyperparameter search must itself be nested inside the historical training period.</w:t>
      </w:r>
    </w:p>
    <w:p>
      <w:pPr>
        <w:spacing w:before="40" w:after="100"/>
        <w:ind w:left="312" w:right="170"/>
      </w:pPr>
      <w:r>
        <w:rPr>
          <w:rFonts w:ascii="Courier New" w:hAnsi="Courier New"/>
          <w:sz w:val="18"/>
        </w:rPr>
        <w:t>Inner folds -&gt; choose lambda/l1_ratio/tree depth/etc.</w:t>
      </w:r>
    </w:p>
    <w:p>
      <w:pPr>
        <w:spacing w:before="40" w:after="100"/>
        <w:ind w:left="312" w:right="170"/>
      </w:pPr>
      <w:r>
        <w:rPr>
          <w:rFonts w:ascii="Courier New" w:hAnsi="Courier New"/>
          <w:sz w:val="18"/>
        </w:rPr>
        <w:t>Outer future block -&gt; evaluate the entire model-selection process</w:t>
      </w:r>
    </w:p>
    <w:p>
      <w:pPr>
        <w:spacing w:before="40" w:after="100"/>
        <w:ind w:left="312" w:right="170"/>
      </w:pPr>
      <w:r>
        <w:rPr>
          <w:rFonts w:ascii="Courier New" w:hAnsi="Courier New"/>
          <w:sz w:val="18"/>
        </w:rPr>
        <w:t>Final untouched test -&gt; one-time estimate of generalisation</w:t>
      </w:r>
    </w:p>
    <w:p>
      <w:pPr>
        <w:pStyle w:val="Heading2"/>
        <w:keepNext/>
        <w:spacing w:before="160" w:after="100"/>
      </w:pPr>
      <w:r>
        <w:rPr>
          <w:rFonts w:ascii="Arial" w:hAnsi="Arial"/>
          <w:b/>
          <w:sz w:val="25"/>
        </w:rPr>
        <w:t>2.5 Purging overlapping labels</w:t>
      </w:r>
    </w:p>
    <w:p>
      <w:pPr>
        <w:keepNext w:val="0"/>
        <w:spacing w:after="100" w:line="252" w:lineRule="auto"/>
      </w:pPr>
      <w:r>
        <w:rPr>
          <w:rFonts w:ascii="Arial" w:hAnsi="Arial"/>
          <w:i w:val="0"/>
        </w:rPr>
        <w:t>If the target spans 30 seconds and the validation block begins at 10:00:00, any training observation whose label interval extends into or beyond 10:00:00 must be removed. A row-count gap is not enough for irregular timestamps; the purge should be defined by actual label intervals.</w:t>
      </w:r>
    </w:p>
    <w:p>
      <w:pPr>
        <w:pStyle w:val="Heading2"/>
        <w:keepNext/>
        <w:spacing w:before="160" w:after="100"/>
      </w:pPr>
      <w:r>
        <w:rPr>
          <w:rFonts w:ascii="Arial" w:hAnsi="Arial"/>
          <w:b/>
          <w:sz w:val="25"/>
        </w:rPr>
        <w:t>2.6 Stacking: a precise technical recipe</w:t>
      </w:r>
    </w:p>
    <w:p>
      <w:pPr>
        <w:keepNext w:val="0"/>
        <w:spacing w:after="100" w:line="252" w:lineRule="auto"/>
      </w:pPr>
      <w:r>
        <w:rPr>
          <w:rFonts w:ascii="Arial" w:hAnsi="Arial"/>
          <w:i w:val="0"/>
        </w:rPr>
        <w:t>Illustrative base models: ElasticNet, gradient-boosted trees and a simple momentum/microstructure model. Produce forward predictions for each model, align them by timestamp, and fit a simple constrained linear meta-model. The meta-model receives only OOS base predictions and optional context variables known at that time.</w:t>
      </w:r>
    </w:p>
    <w:p>
      <w:pPr>
        <w:keepLines/>
        <w:spacing w:before="60" w:after="80"/>
        <w:ind w:left="312" w:right="170"/>
        <w:jc w:val="center"/>
      </w:pPr>
      <w:r>
        <w:rPr>
          <w:rFonts w:ascii="Cambria Math" w:hAnsi="Cambria Math" w:eastAsia="Cambria Math" w:cs="Cambria Math"/>
          <w:sz w:val="21"/>
        </w:rPr>
        <w:t>ŷ_stack = w₁ŷ_EN + w₂ŷ_GBT + w₃ŷ_momentum</w:t>
      </w:r>
    </w:p>
    <w:p>
      <w:pPr>
        <w:keepNext w:val="0"/>
        <w:spacing w:after="100" w:line="252" w:lineRule="auto"/>
      </w:pPr>
      <w:r>
        <w:rPr>
          <w:rFonts w:ascii="Arial" w:hAnsi="Arial"/>
          <w:i w:val="0"/>
        </w:rPr>
        <w:t>A simple average is a mandatory benchmark. If the complex stack does not beat it stably after costs, keep the simple blend.</w:t>
      </w:r>
    </w:p>
    <w:p>
      <w:pPr>
        <w:pStyle w:val="Heading2"/>
        <w:keepNext/>
        <w:spacing w:before="160" w:after="100"/>
      </w:pPr>
      <w:r>
        <w:rPr>
          <w:rFonts w:ascii="Arial" w:hAnsi="Arial"/>
          <w:b/>
          <w:sz w:val="25"/>
        </w:rPr>
        <w:t>2.7 Illustrative research ledger</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1304"/>
            <w:shd w:fill="D9E1F2"/>
            <w:tcMar>
              <w:top w:w="80" w:type="dxa"/>
              <w:start w:w="80" w:type="dxa"/>
              <w:bottom w:w="80" w:type="dxa"/>
              <w:end w:w="80" w:type="dxa"/>
            </w:tcMar>
            <w:vAlign w:val="center"/>
          </w:tcPr>
          <w:p>
            <w:pPr>
              <w:jc w:val="left"/>
            </w:pPr>
            <w:r>
              <w:rPr>
                <w:rFonts w:ascii="Arial" w:hAnsi="Arial"/>
                <w:b/>
                <w:sz w:val="14"/>
              </w:rPr>
              <w:t>Experiment</w:t>
            </w:r>
          </w:p>
        </w:tc>
        <w:tc>
          <w:tcPr>
            <w:tcW w:type="dxa" w:w="4252"/>
            <w:shd w:fill="D9E1F2"/>
            <w:tcMar>
              <w:top w:w="80" w:type="dxa"/>
              <w:start w:w="80" w:type="dxa"/>
              <w:bottom w:w="80" w:type="dxa"/>
              <w:end w:w="80" w:type="dxa"/>
            </w:tcMar>
            <w:vAlign w:val="center"/>
          </w:tcPr>
          <w:p>
            <w:pPr>
              <w:jc w:val="left"/>
            </w:pPr>
            <w:r>
              <w:rPr>
                <w:rFonts w:ascii="Arial" w:hAnsi="Arial"/>
                <w:b/>
                <w:sz w:val="14"/>
              </w:rPr>
              <w:t>Primary change</w:t>
            </w:r>
          </w:p>
        </w:tc>
        <w:tc>
          <w:tcPr>
            <w:tcW w:type="dxa" w:w="1134"/>
            <w:shd w:fill="D9E1F2"/>
            <w:tcMar>
              <w:top w:w="80" w:type="dxa"/>
              <w:start w:w="80" w:type="dxa"/>
              <w:bottom w:w="80" w:type="dxa"/>
              <w:end w:w="80" w:type="dxa"/>
            </w:tcMar>
            <w:vAlign w:val="center"/>
          </w:tcPr>
          <w:p>
            <w:pPr>
              <w:jc w:val="left"/>
            </w:pPr>
            <w:r>
              <w:rPr>
                <w:rFonts w:ascii="Arial" w:hAnsi="Arial"/>
                <w:b/>
                <w:sz w:val="14"/>
              </w:rPr>
              <w:t>OOS IC</w:t>
            </w:r>
          </w:p>
        </w:tc>
        <w:tc>
          <w:tcPr>
            <w:tcW w:type="dxa" w:w="3061"/>
            <w:shd w:fill="D9E1F2"/>
            <w:tcMar>
              <w:top w:w="80" w:type="dxa"/>
              <w:start w:w="80" w:type="dxa"/>
              <w:bottom w:w="80" w:type="dxa"/>
              <w:end w:w="80" w:type="dxa"/>
            </w:tcMar>
            <w:vAlign w:val="center"/>
          </w:tcPr>
          <w:p>
            <w:pPr>
              <w:jc w:val="left"/>
            </w:pPr>
            <w:r>
              <w:rPr>
                <w:rFonts w:ascii="Arial" w:hAnsi="Arial"/>
                <w:b/>
                <w:sz w:val="14"/>
              </w:rPr>
              <w:t>Decision</w:t>
            </w:r>
          </w:p>
        </w:tc>
      </w:tr>
      <w:tr>
        <w:tc>
          <w:tcPr>
            <w:tcW w:type="dxa" w:w="1304"/>
            <w:tcMar>
              <w:top w:w="75" w:type="dxa"/>
              <w:start w:w="80" w:type="dxa"/>
              <w:bottom w:w="75" w:type="dxa"/>
              <w:end w:w="80" w:type="dxa"/>
            </w:tcMar>
            <w:vAlign w:val="top"/>
          </w:tcPr>
          <w:p>
            <w:pPr>
              <w:spacing w:after="0"/>
            </w:pPr>
            <w:r>
              <w:rPr>
                <w:rFonts w:ascii="Arial" w:hAnsi="Arial"/>
                <w:b/>
                <w:sz w:val="14"/>
              </w:rPr>
              <w:t>E01</w:t>
            </w:r>
          </w:p>
        </w:tc>
        <w:tc>
          <w:tcPr>
            <w:tcW w:type="dxa" w:w="4252"/>
            <w:tcMar>
              <w:top w:w="75" w:type="dxa"/>
              <w:start w:w="80" w:type="dxa"/>
              <w:bottom w:w="75" w:type="dxa"/>
              <w:end w:w="80" w:type="dxa"/>
            </w:tcMar>
            <w:vAlign w:val="top"/>
          </w:tcPr>
          <w:p>
            <w:pPr>
              <w:spacing w:after="0"/>
            </w:pPr>
            <w:r>
              <w:rPr>
                <w:rFonts w:ascii="Arial" w:hAnsi="Arial"/>
                <w:b w:val="0"/>
                <w:sz w:val="14"/>
              </w:rPr>
              <w:t>Momentum + spread baseline</w:t>
            </w:r>
          </w:p>
        </w:tc>
        <w:tc>
          <w:tcPr>
            <w:tcW w:type="dxa" w:w="1134"/>
            <w:tcMar>
              <w:top w:w="75" w:type="dxa"/>
              <w:start w:w="80" w:type="dxa"/>
              <w:bottom w:w="75" w:type="dxa"/>
              <w:end w:w="80" w:type="dxa"/>
            </w:tcMar>
            <w:vAlign w:val="top"/>
          </w:tcPr>
          <w:p>
            <w:pPr>
              <w:spacing w:after="0"/>
            </w:pPr>
            <w:r>
              <w:rPr>
                <w:rFonts w:ascii="Arial" w:hAnsi="Arial"/>
                <w:b w:val="0"/>
                <w:sz w:val="14"/>
              </w:rPr>
              <w:t>0.014</w:t>
            </w:r>
          </w:p>
        </w:tc>
        <w:tc>
          <w:tcPr>
            <w:tcW w:type="dxa" w:w="3061"/>
            <w:tcMar>
              <w:top w:w="75" w:type="dxa"/>
              <w:start w:w="80" w:type="dxa"/>
              <w:bottom w:w="75" w:type="dxa"/>
              <w:end w:w="80" w:type="dxa"/>
            </w:tcMar>
            <w:vAlign w:val="top"/>
          </w:tcPr>
          <w:p>
            <w:pPr>
              <w:spacing w:after="0"/>
            </w:pPr>
            <w:r>
              <w:rPr>
                <w:rFonts w:ascii="Arial" w:hAnsi="Arial"/>
                <w:b w:val="0"/>
                <w:sz w:val="14"/>
              </w:rPr>
              <w:t>Retain baseline.</w:t>
            </w:r>
          </w:p>
        </w:tc>
      </w:tr>
      <w:tr>
        <w:tc>
          <w:tcPr>
            <w:tcW w:type="dxa" w:w="1304"/>
            <w:tcMar>
              <w:top w:w="75" w:type="dxa"/>
              <w:start w:w="80" w:type="dxa"/>
              <w:bottom w:w="75" w:type="dxa"/>
              <w:end w:w="80" w:type="dxa"/>
            </w:tcMar>
            <w:vAlign w:val="top"/>
          </w:tcPr>
          <w:p>
            <w:pPr>
              <w:spacing w:after="0"/>
            </w:pPr>
            <w:r>
              <w:rPr>
                <w:rFonts w:ascii="Arial" w:hAnsi="Arial"/>
                <w:b/>
                <w:sz w:val="14"/>
              </w:rPr>
              <w:t>E07</w:t>
            </w:r>
          </w:p>
        </w:tc>
        <w:tc>
          <w:tcPr>
            <w:tcW w:type="dxa" w:w="4252"/>
            <w:tcMar>
              <w:top w:w="75" w:type="dxa"/>
              <w:start w:w="80" w:type="dxa"/>
              <w:bottom w:w="75" w:type="dxa"/>
              <w:end w:w="80" w:type="dxa"/>
            </w:tcMar>
            <w:vAlign w:val="top"/>
          </w:tcPr>
          <w:p>
            <w:pPr>
              <w:spacing w:after="0"/>
            </w:pPr>
            <w:r>
              <w:rPr>
                <w:rFonts w:ascii="Arial" w:hAnsi="Arial"/>
                <w:b w:val="0"/>
                <w:sz w:val="14"/>
              </w:rPr>
              <w:t>Add L1 order-book imbalance</w:t>
            </w:r>
          </w:p>
        </w:tc>
        <w:tc>
          <w:tcPr>
            <w:tcW w:type="dxa" w:w="1134"/>
            <w:tcMar>
              <w:top w:w="75" w:type="dxa"/>
              <w:start w:w="80" w:type="dxa"/>
              <w:bottom w:w="75" w:type="dxa"/>
              <w:end w:w="80" w:type="dxa"/>
            </w:tcMar>
            <w:vAlign w:val="top"/>
          </w:tcPr>
          <w:p>
            <w:pPr>
              <w:spacing w:after="0"/>
            </w:pPr>
            <w:r>
              <w:rPr>
                <w:rFonts w:ascii="Arial" w:hAnsi="Arial"/>
                <w:b w:val="0"/>
                <w:sz w:val="14"/>
              </w:rPr>
              <w:t>0.019</w:t>
            </w:r>
          </w:p>
        </w:tc>
        <w:tc>
          <w:tcPr>
            <w:tcW w:type="dxa" w:w="3061"/>
            <w:tcMar>
              <w:top w:w="75" w:type="dxa"/>
              <w:start w:w="80" w:type="dxa"/>
              <w:bottom w:w="75" w:type="dxa"/>
              <w:end w:w="80" w:type="dxa"/>
            </w:tcMar>
            <w:vAlign w:val="top"/>
          </w:tcPr>
          <w:p>
            <w:pPr>
              <w:spacing w:after="0"/>
            </w:pPr>
            <w:r>
              <w:rPr>
                <w:rFonts w:ascii="Arial" w:hAnsi="Arial"/>
                <w:b w:val="0"/>
                <w:sz w:val="14"/>
              </w:rPr>
              <w:t>Promising, stable.</w:t>
            </w:r>
          </w:p>
        </w:tc>
      </w:tr>
      <w:tr>
        <w:tc>
          <w:tcPr>
            <w:tcW w:type="dxa" w:w="1304"/>
            <w:tcMar>
              <w:top w:w="75" w:type="dxa"/>
              <w:start w:w="80" w:type="dxa"/>
              <w:bottom w:w="75" w:type="dxa"/>
              <w:end w:w="80" w:type="dxa"/>
            </w:tcMar>
            <w:vAlign w:val="top"/>
          </w:tcPr>
          <w:p>
            <w:pPr>
              <w:spacing w:after="0"/>
            </w:pPr>
            <w:r>
              <w:rPr>
                <w:rFonts w:ascii="Arial" w:hAnsi="Arial"/>
                <w:b/>
                <w:sz w:val="14"/>
              </w:rPr>
              <w:t>E12</w:t>
            </w:r>
          </w:p>
        </w:tc>
        <w:tc>
          <w:tcPr>
            <w:tcW w:type="dxa" w:w="4252"/>
            <w:tcMar>
              <w:top w:w="75" w:type="dxa"/>
              <w:start w:w="80" w:type="dxa"/>
              <w:bottom w:w="75" w:type="dxa"/>
              <w:end w:w="80" w:type="dxa"/>
            </w:tcMar>
            <w:vAlign w:val="top"/>
          </w:tcPr>
          <w:p>
            <w:pPr>
              <w:spacing w:after="0"/>
            </w:pPr>
            <w:r>
              <w:rPr>
                <w:rFonts w:ascii="Arial" w:hAnsi="Arial"/>
                <w:b w:val="0"/>
                <w:sz w:val="14"/>
              </w:rPr>
              <w:t>Add L1-L5 depth features</w:t>
            </w:r>
          </w:p>
        </w:tc>
        <w:tc>
          <w:tcPr>
            <w:tcW w:type="dxa" w:w="1134"/>
            <w:tcMar>
              <w:top w:w="75" w:type="dxa"/>
              <w:start w:w="80" w:type="dxa"/>
              <w:bottom w:w="75" w:type="dxa"/>
              <w:end w:w="80" w:type="dxa"/>
            </w:tcMar>
            <w:vAlign w:val="top"/>
          </w:tcPr>
          <w:p>
            <w:pPr>
              <w:spacing w:after="0"/>
            </w:pPr>
            <w:r>
              <w:rPr>
                <w:rFonts w:ascii="Arial" w:hAnsi="Arial"/>
                <w:b w:val="0"/>
                <w:sz w:val="14"/>
              </w:rPr>
              <w:t>0.021</w:t>
            </w:r>
          </w:p>
        </w:tc>
        <w:tc>
          <w:tcPr>
            <w:tcW w:type="dxa" w:w="3061"/>
            <w:tcMar>
              <w:top w:w="75" w:type="dxa"/>
              <w:start w:w="80" w:type="dxa"/>
              <w:bottom w:w="75" w:type="dxa"/>
              <w:end w:w="80" w:type="dxa"/>
            </w:tcMar>
            <w:vAlign w:val="top"/>
          </w:tcPr>
          <w:p>
            <w:pPr>
              <w:spacing w:after="0"/>
            </w:pPr>
            <w:r>
              <w:rPr>
                <w:rFonts w:ascii="Arial" w:hAnsi="Arial"/>
                <w:b w:val="0"/>
                <w:sz w:val="14"/>
              </w:rPr>
              <w:t>Retain; small increment.</w:t>
            </w:r>
          </w:p>
        </w:tc>
      </w:tr>
      <w:tr>
        <w:tc>
          <w:tcPr>
            <w:tcW w:type="dxa" w:w="1304"/>
            <w:tcMar>
              <w:top w:w="75" w:type="dxa"/>
              <w:start w:w="80" w:type="dxa"/>
              <w:bottom w:w="75" w:type="dxa"/>
              <w:end w:w="80" w:type="dxa"/>
            </w:tcMar>
            <w:vAlign w:val="top"/>
          </w:tcPr>
          <w:p>
            <w:pPr>
              <w:spacing w:after="0"/>
            </w:pPr>
            <w:r>
              <w:rPr>
                <w:rFonts w:ascii="Arial" w:hAnsi="Arial"/>
                <w:b/>
                <w:sz w:val="14"/>
              </w:rPr>
              <w:t>E18</w:t>
            </w:r>
          </w:p>
        </w:tc>
        <w:tc>
          <w:tcPr>
            <w:tcW w:type="dxa" w:w="4252"/>
            <w:tcMar>
              <w:top w:w="75" w:type="dxa"/>
              <w:start w:w="80" w:type="dxa"/>
              <w:bottom w:w="75" w:type="dxa"/>
              <w:end w:w="80" w:type="dxa"/>
            </w:tcMar>
            <w:vAlign w:val="top"/>
          </w:tcPr>
          <w:p>
            <w:pPr>
              <w:spacing w:after="0"/>
            </w:pPr>
            <w:r>
              <w:rPr>
                <w:rFonts w:ascii="Arial" w:hAnsi="Arial"/>
                <w:b w:val="0"/>
                <w:sz w:val="14"/>
              </w:rPr>
              <w:t>Add signed client-flow windows</w:t>
            </w:r>
          </w:p>
        </w:tc>
        <w:tc>
          <w:tcPr>
            <w:tcW w:type="dxa" w:w="1134"/>
            <w:tcMar>
              <w:top w:w="75" w:type="dxa"/>
              <w:start w:w="80" w:type="dxa"/>
              <w:bottom w:w="75" w:type="dxa"/>
              <w:end w:w="80" w:type="dxa"/>
            </w:tcMar>
            <w:vAlign w:val="top"/>
          </w:tcPr>
          <w:p>
            <w:pPr>
              <w:spacing w:after="0"/>
            </w:pPr>
            <w:r>
              <w:rPr>
                <w:rFonts w:ascii="Arial" w:hAnsi="Arial"/>
                <w:b w:val="0"/>
                <w:sz w:val="14"/>
              </w:rPr>
              <w:t>0.030</w:t>
            </w:r>
          </w:p>
        </w:tc>
        <w:tc>
          <w:tcPr>
            <w:tcW w:type="dxa" w:w="3061"/>
            <w:tcMar>
              <w:top w:w="75" w:type="dxa"/>
              <w:start w:w="80" w:type="dxa"/>
              <w:bottom w:w="75" w:type="dxa"/>
              <w:end w:w="80" w:type="dxa"/>
            </w:tcMar>
            <w:vAlign w:val="top"/>
          </w:tcPr>
          <w:p>
            <w:pPr>
              <w:spacing w:after="0"/>
            </w:pPr>
            <w:r>
              <w:rPr>
                <w:rFonts w:ascii="Arial" w:hAnsi="Arial"/>
                <w:b w:val="0"/>
                <w:sz w:val="14"/>
              </w:rPr>
              <w:t>Strongest incremental block.</w:t>
            </w:r>
          </w:p>
        </w:tc>
      </w:tr>
      <w:tr>
        <w:tc>
          <w:tcPr>
            <w:tcW w:type="dxa" w:w="1304"/>
            <w:tcMar>
              <w:top w:w="75" w:type="dxa"/>
              <w:start w:w="80" w:type="dxa"/>
              <w:bottom w:w="75" w:type="dxa"/>
              <w:end w:w="80" w:type="dxa"/>
            </w:tcMar>
            <w:vAlign w:val="top"/>
          </w:tcPr>
          <w:p>
            <w:pPr>
              <w:spacing w:after="0"/>
            </w:pPr>
            <w:r>
              <w:rPr>
                <w:rFonts w:ascii="Arial" w:hAnsi="Arial"/>
                <w:b/>
                <w:sz w:val="14"/>
              </w:rPr>
              <w:t>E24</w:t>
            </w:r>
          </w:p>
        </w:tc>
        <w:tc>
          <w:tcPr>
            <w:tcW w:type="dxa" w:w="4252"/>
            <w:tcMar>
              <w:top w:w="75" w:type="dxa"/>
              <w:start w:w="80" w:type="dxa"/>
              <w:bottom w:w="75" w:type="dxa"/>
              <w:end w:w="80" w:type="dxa"/>
            </w:tcMar>
            <w:vAlign w:val="top"/>
          </w:tcPr>
          <w:p>
            <w:pPr>
              <w:spacing w:after="0"/>
            </w:pPr>
            <w:r>
              <w:rPr>
                <w:rFonts w:ascii="Arial" w:hAnsi="Arial"/>
                <w:b w:val="0"/>
                <w:sz w:val="14"/>
              </w:rPr>
              <w:t>Add 40 client-segment interactions</w:t>
            </w:r>
          </w:p>
        </w:tc>
        <w:tc>
          <w:tcPr>
            <w:tcW w:type="dxa" w:w="1134"/>
            <w:tcMar>
              <w:top w:w="75" w:type="dxa"/>
              <w:start w:w="80" w:type="dxa"/>
              <w:bottom w:w="75" w:type="dxa"/>
              <w:end w:w="80" w:type="dxa"/>
            </w:tcMar>
            <w:vAlign w:val="top"/>
          </w:tcPr>
          <w:p>
            <w:pPr>
              <w:spacing w:after="0"/>
            </w:pPr>
            <w:r>
              <w:rPr>
                <w:rFonts w:ascii="Arial" w:hAnsi="Arial"/>
                <w:b w:val="0"/>
                <w:sz w:val="14"/>
              </w:rPr>
              <w:t>0.031</w:t>
            </w:r>
          </w:p>
        </w:tc>
        <w:tc>
          <w:tcPr>
            <w:tcW w:type="dxa" w:w="3061"/>
            <w:tcMar>
              <w:top w:w="75" w:type="dxa"/>
              <w:start w:w="80" w:type="dxa"/>
              <w:bottom w:w="75" w:type="dxa"/>
              <w:end w:w="80" w:type="dxa"/>
            </w:tcMar>
            <w:vAlign w:val="top"/>
          </w:tcPr>
          <w:p>
            <w:pPr>
              <w:spacing w:after="0"/>
            </w:pPr>
            <w:r>
              <w:rPr>
                <w:rFonts w:ascii="Arial" w:hAnsi="Arial"/>
                <w:b w:val="0"/>
                <w:sz w:val="14"/>
              </w:rPr>
              <w:t>Reject most; complexity not justified.</w:t>
            </w:r>
          </w:p>
        </w:tc>
      </w:tr>
      <w:tr>
        <w:tc>
          <w:tcPr>
            <w:tcW w:type="dxa" w:w="1304"/>
            <w:tcMar>
              <w:top w:w="75" w:type="dxa"/>
              <w:start w:w="80" w:type="dxa"/>
              <w:bottom w:w="75" w:type="dxa"/>
              <w:end w:w="80" w:type="dxa"/>
            </w:tcMar>
            <w:vAlign w:val="top"/>
          </w:tcPr>
          <w:p>
            <w:pPr>
              <w:spacing w:after="0"/>
            </w:pPr>
            <w:r>
              <w:rPr>
                <w:rFonts w:ascii="Arial" w:hAnsi="Arial"/>
                <w:b/>
                <w:sz w:val="14"/>
              </w:rPr>
              <w:t>E31</w:t>
            </w:r>
          </w:p>
        </w:tc>
        <w:tc>
          <w:tcPr>
            <w:tcW w:type="dxa" w:w="4252"/>
            <w:tcMar>
              <w:top w:w="75" w:type="dxa"/>
              <w:start w:w="80" w:type="dxa"/>
              <w:bottom w:w="75" w:type="dxa"/>
              <w:end w:w="80" w:type="dxa"/>
            </w:tcMar>
            <w:vAlign w:val="top"/>
          </w:tcPr>
          <w:p>
            <w:pPr>
              <w:spacing w:after="0"/>
            </w:pPr>
            <w:r>
              <w:rPr>
                <w:rFonts w:ascii="Arial" w:hAnsi="Arial"/>
                <w:b w:val="0"/>
                <w:sz w:val="14"/>
              </w:rPr>
              <w:t>Cross-venue gap with event timestamps only</w:t>
            </w:r>
          </w:p>
        </w:tc>
        <w:tc>
          <w:tcPr>
            <w:tcW w:type="dxa" w:w="1134"/>
            <w:tcMar>
              <w:top w:w="75" w:type="dxa"/>
              <w:start w:w="80" w:type="dxa"/>
              <w:bottom w:w="75" w:type="dxa"/>
              <w:end w:w="80" w:type="dxa"/>
            </w:tcMar>
            <w:vAlign w:val="top"/>
          </w:tcPr>
          <w:p>
            <w:pPr>
              <w:spacing w:after="0"/>
            </w:pPr>
            <w:r>
              <w:rPr>
                <w:rFonts w:ascii="Arial" w:hAnsi="Arial"/>
                <w:b w:val="0"/>
                <w:sz w:val="14"/>
              </w:rPr>
              <w:t>0.051</w:t>
            </w:r>
          </w:p>
        </w:tc>
        <w:tc>
          <w:tcPr>
            <w:tcW w:type="dxa" w:w="3061"/>
            <w:tcMar>
              <w:top w:w="75" w:type="dxa"/>
              <w:start w:w="80" w:type="dxa"/>
              <w:bottom w:w="75" w:type="dxa"/>
              <w:end w:w="80" w:type="dxa"/>
            </w:tcMar>
            <w:vAlign w:val="top"/>
          </w:tcPr>
          <w:p>
            <w:pPr>
              <w:spacing w:after="0"/>
            </w:pPr>
            <w:r>
              <w:rPr>
                <w:rFonts w:ascii="Arial" w:hAnsi="Arial"/>
                <w:b w:val="0"/>
                <w:sz w:val="14"/>
              </w:rPr>
              <w:t>Reject: collapses after receive-time correction; leakage/staleness artefact.</w:t>
            </w:r>
          </w:p>
        </w:tc>
      </w:tr>
      <w:tr>
        <w:tc>
          <w:tcPr>
            <w:tcW w:type="dxa" w:w="1304"/>
            <w:tcMar>
              <w:top w:w="75" w:type="dxa"/>
              <w:start w:w="80" w:type="dxa"/>
              <w:bottom w:w="75" w:type="dxa"/>
              <w:end w:w="80" w:type="dxa"/>
            </w:tcMar>
            <w:vAlign w:val="top"/>
          </w:tcPr>
          <w:p>
            <w:pPr>
              <w:spacing w:after="0"/>
            </w:pPr>
            <w:r>
              <w:rPr>
                <w:rFonts w:ascii="Arial" w:hAnsi="Arial"/>
                <w:b/>
                <w:sz w:val="14"/>
              </w:rPr>
              <w:t>E32</w:t>
            </w:r>
          </w:p>
        </w:tc>
        <w:tc>
          <w:tcPr>
            <w:tcW w:type="dxa" w:w="4252"/>
            <w:tcMar>
              <w:top w:w="75" w:type="dxa"/>
              <w:start w:w="80" w:type="dxa"/>
              <w:bottom w:w="75" w:type="dxa"/>
              <w:end w:w="80" w:type="dxa"/>
            </w:tcMar>
            <w:vAlign w:val="top"/>
          </w:tcPr>
          <w:p>
            <w:pPr>
              <w:spacing w:after="0"/>
            </w:pPr>
            <w:r>
              <w:rPr>
                <w:rFonts w:ascii="Arial" w:hAnsi="Arial"/>
                <w:b w:val="0"/>
                <w:sz w:val="14"/>
              </w:rPr>
              <w:t>Cross-venue gap with receive-time/stale filter</w:t>
            </w:r>
          </w:p>
        </w:tc>
        <w:tc>
          <w:tcPr>
            <w:tcW w:type="dxa" w:w="1134"/>
            <w:tcMar>
              <w:top w:w="75" w:type="dxa"/>
              <w:start w:w="80" w:type="dxa"/>
              <w:bottom w:w="75" w:type="dxa"/>
              <w:end w:w="80" w:type="dxa"/>
            </w:tcMar>
            <w:vAlign w:val="top"/>
          </w:tcPr>
          <w:p>
            <w:pPr>
              <w:spacing w:after="0"/>
            </w:pPr>
            <w:r>
              <w:rPr>
                <w:rFonts w:ascii="Arial" w:hAnsi="Arial"/>
                <w:b w:val="0"/>
                <w:sz w:val="14"/>
              </w:rPr>
              <w:t>0.033</w:t>
            </w:r>
          </w:p>
        </w:tc>
        <w:tc>
          <w:tcPr>
            <w:tcW w:type="dxa" w:w="3061"/>
            <w:tcMar>
              <w:top w:w="75" w:type="dxa"/>
              <w:start w:w="80" w:type="dxa"/>
              <w:bottom w:w="75" w:type="dxa"/>
              <w:end w:w="80" w:type="dxa"/>
            </w:tcMar>
            <w:vAlign w:val="top"/>
          </w:tcPr>
          <w:p>
            <w:pPr>
              <w:spacing w:after="0"/>
            </w:pPr>
            <w:r>
              <w:rPr>
                <w:rFonts w:ascii="Arial" w:hAnsi="Arial"/>
                <w:b w:val="0"/>
                <w:sz w:val="14"/>
              </w:rPr>
              <w:t>Retain modest contribution.</w:t>
            </w:r>
          </w:p>
        </w:tc>
      </w:tr>
      <w:tr>
        <w:tc>
          <w:tcPr>
            <w:tcW w:type="dxa" w:w="1304"/>
            <w:tcMar>
              <w:top w:w="75" w:type="dxa"/>
              <w:start w:w="80" w:type="dxa"/>
              <w:bottom w:w="75" w:type="dxa"/>
              <w:end w:w="80" w:type="dxa"/>
            </w:tcMar>
            <w:vAlign w:val="top"/>
          </w:tcPr>
          <w:p>
            <w:pPr>
              <w:spacing w:after="0"/>
            </w:pPr>
            <w:r>
              <w:rPr>
                <w:rFonts w:ascii="Arial" w:hAnsi="Arial"/>
                <w:b/>
                <w:sz w:val="14"/>
              </w:rPr>
              <w:t>E41</w:t>
            </w:r>
          </w:p>
        </w:tc>
        <w:tc>
          <w:tcPr>
            <w:tcW w:type="dxa" w:w="4252"/>
            <w:tcMar>
              <w:top w:w="75" w:type="dxa"/>
              <w:start w:w="80" w:type="dxa"/>
              <w:bottom w:w="75" w:type="dxa"/>
              <w:end w:w="80" w:type="dxa"/>
            </w:tcMar>
            <w:vAlign w:val="top"/>
          </w:tcPr>
          <w:p>
            <w:pPr>
              <w:spacing w:after="0"/>
            </w:pPr>
            <w:r>
              <w:rPr>
                <w:rFonts w:ascii="Arial" w:hAnsi="Arial"/>
                <w:b w:val="0"/>
                <w:sz w:val="14"/>
              </w:rPr>
              <w:t>GBT challenger</w:t>
            </w:r>
          </w:p>
        </w:tc>
        <w:tc>
          <w:tcPr>
            <w:tcW w:type="dxa" w:w="1134"/>
            <w:tcMar>
              <w:top w:w="75" w:type="dxa"/>
              <w:start w:w="80" w:type="dxa"/>
              <w:bottom w:w="75" w:type="dxa"/>
              <w:end w:w="80" w:type="dxa"/>
            </w:tcMar>
            <w:vAlign w:val="top"/>
          </w:tcPr>
          <w:p>
            <w:pPr>
              <w:spacing w:after="0"/>
            </w:pPr>
            <w:r>
              <w:rPr>
                <w:rFonts w:ascii="Arial" w:hAnsi="Arial"/>
                <w:b w:val="0"/>
                <w:sz w:val="14"/>
              </w:rPr>
              <w:t>0.032</w:t>
            </w:r>
          </w:p>
        </w:tc>
        <w:tc>
          <w:tcPr>
            <w:tcW w:type="dxa" w:w="3061"/>
            <w:tcMar>
              <w:top w:w="75" w:type="dxa"/>
              <w:start w:w="80" w:type="dxa"/>
              <w:bottom w:w="75" w:type="dxa"/>
              <w:end w:w="80" w:type="dxa"/>
            </w:tcMar>
            <w:vAlign w:val="top"/>
          </w:tcPr>
          <w:p>
            <w:pPr>
              <w:spacing w:after="0"/>
            </w:pPr>
            <w:r>
              <w:rPr>
                <w:rFonts w:ascii="Arial" w:hAnsi="Arial"/>
                <w:b w:val="0"/>
                <w:sz w:val="14"/>
              </w:rPr>
              <w:t>Retain as complementary base model.</w:t>
            </w:r>
          </w:p>
        </w:tc>
      </w:tr>
      <w:tr>
        <w:tc>
          <w:tcPr>
            <w:tcW w:type="dxa" w:w="1304"/>
            <w:tcMar>
              <w:top w:w="75" w:type="dxa"/>
              <w:start w:w="80" w:type="dxa"/>
              <w:bottom w:w="75" w:type="dxa"/>
              <w:end w:w="80" w:type="dxa"/>
            </w:tcMar>
            <w:vAlign w:val="top"/>
          </w:tcPr>
          <w:p>
            <w:pPr>
              <w:spacing w:after="0"/>
            </w:pPr>
            <w:r>
              <w:rPr>
                <w:rFonts w:ascii="Arial" w:hAnsi="Arial"/>
                <w:b/>
                <w:sz w:val="14"/>
              </w:rPr>
              <w:t>E47</w:t>
            </w:r>
          </w:p>
        </w:tc>
        <w:tc>
          <w:tcPr>
            <w:tcW w:type="dxa" w:w="4252"/>
            <w:tcMar>
              <w:top w:w="75" w:type="dxa"/>
              <w:start w:w="80" w:type="dxa"/>
              <w:bottom w:w="75" w:type="dxa"/>
              <w:end w:w="80" w:type="dxa"/>
            </w:tcMar>
            <w:vAlign w:val="top"/>
          </w:tcPr>
          <w:p>
            <w:pPr>
              <w:spacing w:after="0"/>
            </w:pPr>
            <w:r>
              <w:rPr>
                <w:rFonts w:ascii="Arial" w:hAnsi="Arial"/>
                <w:b w:val="0"/>
                <w:sz w:val="14"/>
              </w:rPr>
              <w:t>OOS stack</w:t>
            </w:r>
          </w:p>
        </w:tc>
        <w:tc>
          <w:tcPr>
            <w:tcW w:type="dxa" w:w="1134"/>
            <w:tcMar>
              <w:top w:w="75" w:type="dxa"/>
              <w:start w:w="80" w:type="dxa"/>
              <w:bottom w:w="75" w:type="dxa"/>
              <w:end w:w="80" w:type="dxa"/>
            </w:tcMar>
            <w:vAlign w:val="top"/>
          </w:tcPr>
          <w:p>
            <w:pPr>
              <w:spacing w:after="0"/>
            </w:pPr>
            <w:r>
              <w:rPr>
                <w:rFonts w:ascii="Arial" w:hAnsi="Arial"/>
                <w:b w:val="0"/>
                <w:sz w:val="14"/>
              </w:rPr>
              <w:t>0.035</w:t>
            </w:r>
          </w:p>
        </w:tc>
        <w:tc>
          <w:tcPr>
            <w:tcW w:type="dxa" w:w="3061"/>
            <w:tcMar>
              <w:top w:w="75" w:type="dxa"/>
              <w:start w:w="80" w:type="dxa"/>
              <w:bottom w:w="75" w:type="dxa"/>
              <w:end w:w="80" w:type="dxa"/>
            </w:tcMar>
            <w:vAlign w:val="top"/>
          </w:tcPr>
          <w:p>
            <w:pPr>
              <w:spacing w:after="0"/>
            </w:pPr>
            <w:r>
              <w:rPr>
                <w:rFonts w:ascii="Arial" w:hAnsi="Arial"/>
                <w:b w:val="0"/>
                <w:sz w:val="14"/>
              </w:rPr>
              <w:t>Retain if cost/latency stable.</w:t>
            </w:r>
          </w:p>
        </w:tc>
      </w:tr>
    </w:tbl>
    <w:p>
      <w:pPr>
        <w:spacing w:after="0"/>
      </w:pP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GOOD FAILURE STORY</w:t>
            </w:r>
          </w:p>
          <w:p>
            <w:pPr>
              <w:spacing w:after="0"/>
            </w:pPr>
            <w:r>
              <w:rPr>
                <w:rFonts w:ascii="Arial" w:hAnsi="Arial"/>
                <w:sz w:val="18"/>
              </w:rPr>
              <w:t>The cross-venue experiment is a useful hypothetical interview example: an initially spectacular result disappears after correcting timestamp alignment. The right reaction is not to defend the model; it is to conclude that the original result was an artefact, tighten the data contract, and keep the smaller but credible effect.</w:t>
            </w:r>
          </w:p>
        </w:tc>
      </w:tr>
    </w:tbl>
    <w:p>
      <w:pPr>
        <w:spacing w:after="0"/>
      </w:pPr>
    </w:p>
    <w:p>
      <w:pPr>
        <w:pStyle w:val="Heading2"/>
        <w:keepNext/>
        <w:spacing w:before="160" w:after="100"/>
      </w:pPr>
      <w:r>
        <w:rPr>
          <w:rFonts w:ascii="Arial" w:hAnsi="Arial"/>
          <w:b/>
          <w:sz w:val="25"/>
        </w:rPr>
        <w:t>2.8 Stability analysis</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2948"/>
            <w:shd w:fill="D9E1F2"/>
            <w:tcMar>
              <w:top w:w="80" w:type="dxa"/>
              <w:start w:w="80" w:type="dxa"/>
              <w:bottom w:w="80" w:type="dxa"/>
              <w:end w:w="80" w:type="dxa"/>
            </w:tcMar>
            <w:vAlign w:val="center"/>
          </w:tcPr>
          <w:p>
            <w:pPr>
              <w:jc w:val="left"/>
            </w:pPr>
            <w:r>
              <w:rPr>
                <w:rFonts w:ascii="Arial" w:hAnsi="Arial"/>
                <w:b/>
                <w:sz w:val="15"/>
              </w:rPr>
              <w:t>Slice</w:t>
            </w:r>
          </w:p>
        </w:tc>
        <w:tc>
          <w:tcPr>
            <w:tcW w:type="dxa" w:w="1701"/>
            <w:shd w:fill="D9E1F2"/>
            <w:tcMar>
              <w:top w:w="80" w:type="dxa"/>
              <w:start w:w="80" w:type="dxa"/>
              <w:bottom w:w="80" w:type="dxa"/>
              <w:end w:w="80" w:type="dxa"/>
            </w:tcMar>
            <w:vAlign w:val="center"/>
          </w:tcPr>
          <w:p>
            <w:pPr>
              <w:jc w:val="left"/>
            </w:pPr>
            <w:r>
              <w:rPr>
                <w:rFonts w:ascii="Arial" w:hAnsi="Arial"/>
                <w:b/>
                <w:sz w:val="15"/>
              </w:rPr>
              <w:t>Illustrative stack IC</w:t>
            </w:r>
          </w:p>
        </w:tc>
        <w:tc>
          <w:tcPr>
            <w:tcW w:type="dxa" w:w="4649"/>
            <w:shd w:fill="D9E1F2"/>
            <w:tcMar>
              <w:top w:w="80" w:type="dxa"/>
              <w:start w:w="80" w:type="dxa"/>
              <w:bottom w:w="80" w:type="dxa"/>
              <w:end w:w="80" w:type="dxa"/>
            </w:tcMar>
            <w:vAlign w:val="center"/>
          </w:tcPr>
          <w:p>
            <w:pPr>
              <w:jc w:val="left"/>
            </w:pPr>
            <w:r>
              <w:rPr>
                <w:rFonts w:ascii="Arial" w:hAnsi="Arial"/>
                <w:b/>
                <w:sz w:val="15"/>
              </w:rPr>
              <w:t>Interpretation</w:t>
            </w:r>
          </w:p>
        </w:tc>
      </w:tr>
      <w:tr>
        <w:tc>
          <w:tcPr>
            <w:tcW w:type="dxa" w:w="2948"/>
            <w:tcMar>
              <w:top w:w="75" w:type="dxa"/>
              <w:start w:w="80" w:type="dxa"/>
              <w:bottom w:w="75" w:type="dxa"/>
              <w:end w:w="80" w:type="dxa"/>
            </w:tcMar>
            <w:vAlign w:val="top"/>
          </w:tcPr>
          <w:p>
            <w:pPr>
              <w:spacing w:after="0"/>
            </w:pPr>
            <w:r>
              <w:rPr>
                <w:rFonts w:ascii="Arial" w:hAnsi="Arial"/>
                <w:b/>
                <w:sz w:val="15"/>
              </w:rPr>
              <w:t>London/NY overlap</w:t>
            </w:r>
          </w:p>
        </w:tc>
        <w:tc>
          <w:tcPr>
            <w:tcW w:type="dxa" w:w="1701"/>
            <w:tcMar>
              <w:top w:w="75" w:type="dxa"/>
              <w:start w:w="80" w:type="dxa"/>
              <w:bottom w:w="75" w:type="dxa"/>
              <w:end w:w="80" w:type="dxa"/>
            </w:tcMar>
            <w:vAlign w:val="top"/>
          </w:tcPr>
          <w:p>
            <w:pPr>
              <w:spacing w:after="0"/>
            </w:pPr>
            <w:r>
              <w:rPr>
                <w:rFonts w:ascii="Arial" w:hAnsi="Arial"/>
                <w:b w:val="0"/>
                <w:sz w:val="15"/>
              </w:rPr>
              <w:t>0.040</w:t>
            </w:r>
          </w:p>
        </w:tc>
        <w:tc>
          <w:tcPr>
            <w:tcW w:type="dxa" w:w="4649"/>
            <w:tcMar>
              <w:top w:w="75" w:type="dxa"/>
              <w:start w:w="80" w:type="dxa"/>
              <w:bottom w:w="75" w:type="dxa"/>
              <w:end w:w="80" w:type="dxa"/>
            </w:tcMar>
            <w:vAlign w:val="top"/>
          </w:tcPr>
          <w:p>
            <w:pPr>
              <w:spacing w:after="0"/>
            </w:pPr>
            <w:r>
              <w:rPr>
                <w:rFonts w:ascii="Arial" w:hAnsi="Arial"/>
                <w:b w:val="0"/>
                <w:sz w:val="15"/>
              </w:rPr>
              <w:t>Best liquidity and flow density.</w:t>
            </w:r>
          </w:p>
        </w:tc>
      </w:tr>
      <w:tr>
        <w:tc>
          <w:tcPr>
            <w:tcW w:type="dxa" w:w="2948"/>
            <w:tcMar>
              <w:top w:w="75" w:type="dxa"/>
              <w:start w:w="80" w:type="dxa"/>
              <w:bottom w:w="75" w:type="dxa"/>
              <w:end w:w="80" w:type="dxa"/>
            </w:tcMar>
            <w:vAlign w:val="top"/>
          </w:tcPr>
          <w:p>
            <w:pPr>
              <w:spacing w:after="0"/>
            </w:pPr>
            <w:r>
              <w:rPr>
                <w:rFonts w:ascii="Arial" w:hAnsi="Arial"/>
                <w:b/>
                <w:sz w:val="15"/>
              </w:rPr>
              <w:t>London morning</w:t>
            </w:r>
          </w:p>
        </w:tc>
        <w:tc>
          <w:tcPr>
            <w:tcW w:type="dxa" w:w="1701"/>
            <w:tcMar>
              <w:top w:w="75" w:type="dxa"/>
              <w:start w:w="80" w:type="dxa"/>
              <w:bottom w:w="75" w:type="dxa"/>
              <w:end w:w="80" w:type="dxa"/>
            </w:tcMar>
            <w:vAlign w:val="top"/>
          </w:tcPr>
          <w:p>
            <w:pPr>
              <w:spacing w:after="0"/>
            </w:pPr>
            <w:r>
              <w:rPr>
                <w:rFonts w:ascii="Arial" w:hAnsi="Arial"/>
                <w:b w:val="0"/>
                <w:sz w:val="15"/>
              </w:rPr>
              <w:t>0.034</w:t>
            </w:r>
          </w:p>
        </w:tc>
        <w:tc>
          <w:tcPr>
            <w:tcW w:type="dxa" w:w="4649"/>
            <w:tcMar>
              <w:top w:w="75" w:type="dxa"/>
              <w:start w:w="80" w:type="dxa"/>
              <w:bottom w:w="75" w:type="dxa"/>
              <w:end w:w="80" w:type="dxa"/>
            </w:tcMar>
            <w:vAlign w:val="top"/>
          </w:tcPr>
          <w:p>
            <w:pPr>
              <w:spacing w:after="0"/>
            </w:pPr>
            <w:r>
              <w:rPr>
                <w:rFonts w:ascii="Arial" w:hAnsi="Arial"/>
                <w:b w:val="0"/>
                <w:sz w:val="15"/>
              </w:rPr>
              <w:t>Stable positive signal.</w:t>
            </w:r>
          </w:p>
        </w:tc>
      </w:tr>
      <w:tr>
        <w:tc>
          <w:tcPr>
            <w:tcW w:type="dxa" w:w="2948"/>
            <w:tcMar>
              <w:top w:w="75" w:type="dxa"/>
              <w:start w:w="80" w:type="dxa"/>
              <w:bottom w:w="75" w:type="dxa"/>
              <w:end w:w="80" w:type="dxa"/>
            </w:tcMar>
            <w:vAlign w:val="top"/>
          </w:tcPr>
          <w:p>
            <w:pPr>
              <w:spacing w:after="0"/>
            </w:pPr>
            <w:r>
              <w:rPr>
                <w:rFonts w:ascii="Arial" w:hAnsi="Arial"/>
                <w:b/>
                <w:sz w:val="15"/>
              </w:rPr>
              <w:t>Asia hours</w:t>
            </w:r>
          </w:p>
        </w:tc>
        <w:tc>
          <w:tcPr>
            <w:tcW w:type="dxa" w:w="1701"/>
            <w:tcMar>
              <w:top w:w="75" w:type="dxa"/>
              <w:start w:w="80" w:type="dxa"/>
              <w:bottom w:w="75" w:type="dxa"/>
              <w:end w:w="80" w:type="dxa"/>
            </w:tcMar>
            <w:vAlign w:val="top"/>
          </w:tcPr>
          <w:p>
            <w:pPr>
              <w:spacing w:after="0"/>
            </w:pPr>
            <w:r>
              <w:rPr>
                <w:rFonts w:ascii="Arial" w:hAnsi="Arial"/>
                <w:b w:val="0"/>
                <w:sz w:val="15"/>
              </w:rPr>
              <w:t>0.012</w:t>
            </w:r>
          </w:p>
        </w:tc>
        <w:tc>
          <w:tcPr>
            <w:tcW w:type="dxa" w:w="4649"/>
            <w:tcMar>
              <w:top w:w="75" w:type="dxa"/>
              <w:start w:w="80" w:type="dxa"/>
              <w:bottom w:w="75" w:type="dxa"/>
              <w:end w:w="80" w:type="dxa"/>
            </w:tcMar>
            <w:vAlign w:val="top"/>
          </w:tcPr>
          <w:p>
            <w:pPr>
              <w:spacing w:after="0"/>
            </w:pPr>
            <w:r>
              <w:rPr>
                <w:rFonts w:ascii="Arial" w:hAnsi="Arial"/>
                <w:b w:val="0"/>
                <w:sz w:val="15"/>
              </w:rPr>
              <w:t>Weak; client-flow coverage and venue mix differ.</w:t>
            </w:r>
          </w:p>
        </w:tc>
      </w:tr>
      <w:tr>
        <w:tc>
          <w:tcPr>
            <w:tcW w:type="dxa" w:w="2948"/>
            <w:tcMar>
              <w:top w:w="75" w:type="dxa"/>
              <w:start w:w="80" w:type="dxa"/>
              <w:bottom w:w="75" w:type="dxa"/>
              <w:end w:w="80" w:type="dxa"/>
            </w:tcMar>
            <w:vAlign w:val="top"/>
          </w:tcPr>
          <w:p>
            <w:pPr>
              <w:spacing w:after="0"/>
            </w:pPr>
            <w:r>
              <w:rPr>
                <w:rFonts w:ascii="Arial" w:hAnsi="Arial"/>
                <w:b/>
                <w:sz w:val="15"/>
              </w:rPr>
              <w:t>Normal volatility</w:t>
            </w:r>
          </w:p>
        </w:tc>
        <w:tc>
          <w:tcPr>
            <w:tcW w:type="dxa" w:w="1701"/>
            <w:tcMar>
              <w:top w:w="75" w:type="dxa"/>
              <w:start w:w="80" w:type="dxa"/>
              <w:bottom w:w="75" w:type="dxa"/>
              <w:end w:w="80" w:type="dxa"/>
            </w:tcMar>
            <w:vAlign w:val="top"/>
          </w:tcPr>
          <w:p>
            <w:pPr>
              <w:spacing w:after="0"/>
            </w:pPr>
            <w:r>
              <w:rPr>
                <w:rFonts w:ascii="Arial" w:hAnsi="Arial"/>
                <w:b w:val="0"/>
                <w:sz w:val="15"/>
              </w:rPr>
              <w:t>0.038</w:t>
            </w:r>
          </w:p>
        </w:tc>
        <w:tc>
          <w:tcPr>
            <w:tcW w:type="dxa" w:w="4649"/>
            <w:tcMar>
              <w:top w:w="75" w:type="dxa"/>
              <w:start w:w="80" w:type="dxa"/>
              <w:bottom w:w="75" w:type="dxa"/>
              <w:end w:w="80" w:type="dxa"/>
            </w:tcMar>
            <w:vAlign w:val="top"/>
          </w:tcPr>
          <w:p>
            <w:pPr>
              <w:spacing w:after="0"/>
            </w:pPr>
            <w:r>
              <w:rPr>
                <w:rFonts w:ascii="Arial" w:hAnsi="Arial"/>
                <w:b w:val="0"/>
                <w:sz w:val="15"/>
              </w:rPr>
              <w:t>Healthy.</w:t>
            </w:r>
          </w:p>
        </w:tc>
      </w:tr>
      <w:tr>
        <w:tc>
          <w:tcPr>
            <w:tcW w:type="dxa" w:w="2948"/>
            <w:tcMar>
              <w:top w:w="75" w:type="dxa"/>
              <w:start w:w="80" w:type="dxa"/>
              <w:bottom w:w="75" w:type="dxa"/>
              <w:end w:w="80" w:type="dxa"/>
            </w:tcMar>
            <w:vAlign w:val="top"/>
          </w:tcPr>
          <w:p>
            <w:pPr>
              <w:spacing w:after="0"/>
            </w:pPr>
            <w:r>
              <w:rPr>
                <w:rFonts w:ascii="Arial" w:hAnsi="Arial"/>
                <w:b/>
                <w:sz w:val="15"/>
              </w:rPr>
              <w:t>Top volatility decile</w:t>
            </w:r>
          </w:p>
        </w:tc>
        <w:tc>
          <w:tcPr>
            <w:tcW w:type="dxa" w:w="1701"/>
            <w:tcMar>
              <w:top w:w="75" w:type="dxa"/>
              <w:start w:w="80" w:type="dxa"/>
              <w:bottom w:w="75" w:type="dxa"/>
              <w:end w:w="80" w:type="dxa"/>
            </w:tcMar>
            <w:vAlign w:val="top"/>
          </w:tcPr>
          <w:p>
            <w:pPr>
              <w:spacing w:after="0"/>
            </w:pPr>
            <w:r>
              <w:rPr>
                <w:rFonts w:ascii="Arial" w:hAnsi="Arial"/>
                <w:b w:val="0"/>
                <w:sz w:val="15"/>
              </w:rPr>
              <w:t>0.024</w:t>
            </w:r>
          </w:p>
        </w:tc>
        <w:tc>
          <w:tcPr>
            <w:tcW w:type="dxa" w:w="4649"/>
            <w:tcMar>
              <w:top w:w="75" w:type="dxa"/>
              <w:start w:w="80" w:type="dxa"/>
              <w:bottom w:w="75" w:type="dxa"/>
              <w:end w:w="80" w:type="dxa"/>
            </w:tcMar>
            <w:vAlign w:val="top"/>
          </w:tcPr>
          <w:p>
            <w:pPr>
              <w:spacing w:after="0"/>
            </w:pPr>
            <w:r>
              <w:rPr>
                <w:rFonts w:ascii="Arial" w:hAnsi="Arial"/>
                <w:b w:val="0"/>
                <w:sz w:val="15"/>
              </w:rPr>
              <w:t>Still positive but noisier; spreads/costs higher.</w:t>
            </w:r>
          </w:p>
        </w:tc>
      </w:tr>
      <w:tr>
        <w:tc>
          <w:tcPr>
            <w:tcW w:type="dxa" w:w="2948"/>
            <w:tcMar>
              <w:top w:w="75" w:type="dxa"/>
              <w:start w:w="80" w:type="dxa"/>
              <w:bottom w:w="75" w:type="dxa"/>
              <w:end w:w="80" w:type="dxa"/>
            </w:tcMar>
            <w:vAlign w:val="top"/>
          </w:tcPr>
          <w:p>
            <w:pPr>
              <w:spacing w:after="0"/>
            </w:pPr>
            <w:r>
              <w:rPr>
                <w:rFonts w:ascii="Arial" w:hAnsi="Arial"/>
                <w:b/>
                <w:sz w:val="15"/>
              </w:rPr>
              <w:t>Scheduled macro-event +/- 2 min</w:t>
            </w:r>
          </w:p>
        </w:tc>
        <w:tc>
          <w:tcPr>
            <w:tcW w:type="dxa" w:w="1701"/>
            <w:tcMar>
              <w:top w:w="75" w:type="dxa"/>
              <w:start w:w="80" w:type="dxa"/>
              <w:bottom w:w="75" w:type="dxa"/>
              <w:end w:w="80" w:type="dxa"/>
            </w:tcMar>
            <w:vAlign w:val="top"/>
          </w:tcPr>
          <w:p>
            <w:pPr>
              <w:spacing w:after="0"/>
            </w:pPr>
            <w:r>
              <w:rPr>
                <w:rFonts w:ascii="Arial" w:hAnsi="Arial"/>
                <w:b w:val="0"/>
                <w:sz w:val="15"/>
              </w:rPr>
              <w:t>0.006</w:t>
            </w:r>
          </w:p>
        </w:tc>
        <w:tc>
          <w:tcPr>
            <w:tcW w:type="dxa" w:w="4649"/>
            <w:tcMar>
              <w:top w:w="75" w:type="dxa"/>
              <w:start w:w="80" w:type="dxa"/>
              <w:bottom w:w="75" w:type="dxa"/>
              <w:end w:w="80" w:type="dxa"/>
            </w:tcMar>
            <w:vAlign w:val="top"/>
          </w:tcPr>
          <w:p>
            <w:pPr>
              <w:spacing w:after="0"/>
            </w:pPr>
            <w:r>
              <w:rPr>
                <w:rFonts w:ascii="Arial" w:hAnsi="Arial"/>
                <w:b w:val="0"/>
                <w:sz w:val="15"/>
              </w:rPr>
              <w:t>Signal overwhelmed by public news; consider no-trade filter.</w:t>
            </w:r>
          </w:p>
        </w:tc>
      </w:tr>
    </w:tbl>
    <w:p>
      <w:pPr>
        <w:spacing w:after="0"/>
      </w:pPr>
    </w:p>
    <w:p>
      <w:pPr>
        <w:pStyle w:val="Heading2"/>
        <w:keepNext/>
        <w:spacing w:before="160" w:after="100"/>
      </w:pPr>
      <w:r>
        <w:rPr>
          <w:rFonts w:ascii="Arial" w:hAnsi="Arial"/>
          <w:b/>
          <w:sz w:val="25"/>
        </w:rPr>
        <w:t>2.9 Statistical evidence</w:t>
      </w:r>
    </w:p>
    <w:p>
      <w:pPr>
        <w:keepNext w:val="0"/>
        <w:spacing w:after="100" w:line="252" w:lineRule="auto"/>
      </w:pPr>
      <w:r>
        <w:rPr>
          <w:rFonts w:ascii="Arial" w:hAnsi="Arial"/>
          <w:i w:val="0"/>
        </w:rPr>
        <w:t>Because one-second observations are dependent, uncertainty should be clustered at a coarser unit such as trading day or time block. A day bootstrap or block bootstrap is more defensible than treating every row as independent. Report confidence intervals on the incremental performance of the proprietary feature block and inspect whether the result is concentrated in a few days.</w:t>
      </w:r>
    </w:p>
    <w:p>
      <w:pPr>
        <w:keepNext w:val="0"/>
        <w:spacing w:after="100" w:line="252" w:lineRule="auto"/>
      </w:pPr>
      <w:r>
        <w:rPr>
          <w:rFonts w:ascii="Arial" w:hAnsi="Arial"/>
          <w:i w:val="0"/>
        </w:rPr>
        <w:t>A technically credible illustrative statement would be: "The full model improved IC from 0.021 to 0.030 over the market-only model, and the day-block bootstrap put the incremental IC above zero in roughly 93% of resamples. That was supportive rather than definitive, so we also required stability across sessions and cost stress."</w:t>
      </w:r>
    </w:p>
    <w:p>
      <w:pPr>
        <w:pStyle w:val="Heading2"/>
        <w:keepNext/>
        <w:spacing w:before="160" w:after="100"/>
      </w:pPr>
      <w:r>
        <w:rPr>
          <w:rFonts w:ascii="Arial" w:hAnsi="Arial"/>
          <w:b/>
          <w:sz w:val="25"/>
        </w:rPr>
        <w:t>2.10 Challenges and limitations</w:t>
      </w:r>
    </w:p>
    <w:p>
      <w:pPr>
        <w:pStyle w:val="ListBullet"/>
        <w:spacing w:after="50" w:line="247" w:lineRule="auto"/>
      </w:pPr>
      <w:r>
        <w:rPr>
          <w:rFonts w:ascii="Arial" w:hAnsi="Arial"/>
        </w:rPr>
        <w:t>Correlated rolling windows make coefficients unstable and feature importance misleading.</w:t>
      </w:r>
    </w:p>
    <w:p>
      <w:pPr>
        <w:pStyle w:val="ListBullet"/>
        <w:spacing w:after="50" w:line="247" w:lineRule="auto"/>
      </w:pPr>
      <w:r>
        <w:rPr>
          <w:rFonts w:ascii="Arial" w:hAnsi="Arial"/>
        </w:rPr>
        <w:t>Hyperparameter optimisation across many targets and horizons creates hidden multiple testing.</w:t>
      </w:r>
    </w:p>
    <w:p>
      <w:pPr>
        <w:pStyle w:val="ListBullet"/>
        <w:spacing w:after="50" w:line="247" w:lineRule="auto"/>
      </w:pPr>
      <w:r>
        <w:rPr>
          <w:rFonts w:ascii="Arial" w:hAnsi="Arial"/>
        </w:rPr>
        <w:t>Stacking adds a second leakage surface and can overfit a small number of time blocks.</w:t>
      </w:r>
    </w:p>
    <w:p>
      <w:pPr>
        <w:pStyle w:val="ListBullet"/>
        <w:spacing w:after="50" w:line="247" w:lineRule="auto"/>
      </w:pPr>
      <w:r>
        <w:rPr>
          <w:rFonts w:ascii="Arial" w:hAnsi="Arial"/>
        </w:rPr>
        <w:t>Feature importance is association, not causality.</w:t>
      </w:r>
    </w:p>
    <w:p>
      <w:pPr>
        <w:pStyle w:val="ListBullet"/>
        <w:spacing w:after="50" w:line="247" w:lineRule="auto"/>
      </w:pPr>
      <w:r>
        <w:rPr>
          <w:rFonts w:ascii="Arial" w:hAnsi="Arial"/>
        </w:rPr>
        <w:t>A high row count can hide a low effective sample size because market data are autocorrelated and labels overlap.</w:t>
      </w:r>
    </w:p>
    <w:p>
      <w:pPr>
        <w:pStyle w:val="ListBullet"/>
        <w:spacing w:after="50" w:line="247" w:lineRule="auto"/>
      </w:pPr>
      <w:r>
        <w:rPr>
          <w:rFonts w:ascii="Arial" w:hAnsi="Arial"/>
        </w:rPr>
        <w:t>The data-generating process changes after deployment if the strategy itself affects prices or if client behaviour changes.</w:t>
      </w:r>
    </w:p>
    <w:p>
      <w:pPr>
        <w:pStyle w:val="Heading2"/>
        <w:keepNext/>
        <w:spacing w:before="160" w:after="100"/>
      </w:pPr>
      <w:r>
        <w:rPr>
          <w:rFonts w:ascii="Arial" w:hAnsi="Arial"/>
          <w:b/>
          <w:sz w:val="25"/>
        </w:rPr>
        <w:t>2.11 What I would do differently today</w:t>
      </w:r>
    </w:p>
    <w:p>
      <w:pPr>
        <w:pStyle w:val="ListBullet"/>
        <w:spacing w:after="50" w:line="247" w:lineRule="auto"/>
      </w:pPr>
      <w:r>
        <w:rPr>
          <w:rFonts w:ascii="Arial" w:hAnsi="Arial"/>
        </w:rPr>
        <w:t>Treat the research pipeline itself as the object being validated: feature generation, tuning, stacking and threshold selection all sit inside the walk-forward loop.</w:t>
      </w:r>
    </w:p>
    <w:p>
      <w:pPr>
        <w:pStyle w:val="ListBullet"/>
        <w:spacing w:after="50" w:line="247" w:lineRule="auto"/>
      </w:pPr>
      <w:r>
        <w:rPr>
          <w:rFonts w:ascii="Arial" w:hAnsi="Arial"/>
        </w:rPr>
        <w:t>Use stronger experiment tracking and immutable point-in-time datasets so every model result can be reproduced exactly.</w:t>
      </w:r>
    </w:p>
    <w:p>
      <w:pPr>
        <w:pStyle w:val="ListBullet"/>
        <w:spacing w:after="50" w:line="247" w:lineRule="auto"/>
      </w:pPr>
      <w:r>
        <w:rPr>
          <w:rFonts w:ascii="Arial" w:hAnsi="Arial"/>
        </w:rPr>
        <w:t>Report incremental contribution with block-bootstrap uncertainty and pre-defined ablations.</w:t>
      </w:r>
    </w:p>
    <w:p>
      <w:pPr>
        <w:pStyle w:val="ListBullet"/>
        <w:spacing w:after="50" w:line="247" w:lineRule="auto"/>
      </w:pPr>
      <w:r>
        <w:rPr>
          <w:rFonts w:ascii="Arial" w:hAnsi="Arial"/>
        </w:rPr>
        <w:t>Use stability selection / grouped regularisation for families of highly correlated windows where interpretability matters.</w:t>
      </w:r>
    </w:p>
    <w:p>
      <w:pPr>
        <w:pStyle w:val="ListBullet"/>
        <w:spacing w:after="50" w:line="247" w:lineRule="auto"/>
      </w:pPr>
      <w:r>
        <w:rPr>
          <w:rFonts w:ascii="Arial" w:hAnsi="Arial"/>
        </w:rPr>
        <w:t>Add model confidence and abstention: no-trade when the prediction is outside the training support or uncertainty is high.</w:t>
      </w:r>
    </w:p>
    <w:p>
      <w:pPr>
        <w:pStyle w:val="Heading2"/>
        <w:keepNext/>
        <w:spacing w:before="160" w:after="100"/>
      </w:pPr>
      <w:r>
        <w:rPr>
          <w:rFonts w:ascii="Arial" w:hAnsi="Arial"/>
          <w:b/>
          <w:sz w:val="25"/>
        </w:rPr>
        <w:t>2.12 Interview defence</w:t>
      </w:r>
    </w:p>
    <w:p>
      <w:pPr>
        <w:spacing w:after="40"/>
      </w:pPr>
      <w:r>
        <w:rPr>
          <w:rFonts w:ascii="Arial" w:hAnsi="Arial"/>
          <w:b/>
          <w:sz w:val="18"/>
        </w:rPr>
        <w:t>Q: Why ElasticNet?</w:t>
      </w:r>
    </w:p>
    <w:p>
      <w:pPr>
        <w:spacing w:after="100"/>
        <w:ind w:left="227"/>
      </w:pPr>
      <w:r>
        <w:rPr>
          <w:rFonts w:ascii="Arial" w:hAnsi="Arial"/>
          <w:sz w:val="18"/>
        </w:rPr>
        <w:t>A: The feature set contained families of correlated rolling windows. L1 helped suppress weak predictors; L2 stabilised correlated groups. It gave a strong, interpretable baseline before adding nonlinear learners.</w:t>
      </w:r>
    </w:p>
    <w:p>
      <w:pPr>
        <w:spacing w:after="40"/>
      </w:pPr>
      <w:r>
        <w:rPr>
          <w:rFonts w:ascii="Arial" w:hAnsi="Arial"/>
          <w:b/>
          <w:sz w:val="18"/>
        </w:rPr>
        <w:t>Q: How did you prevent leakage in stacking?</w:t>
      </w:r>
    </w:p>
    <w:p>
      <w:pPr>
        <w:spacing w:after="100"/>
        <w:ind w:left="227"/>
      </w:pPr>
      <w:r>
        <w:rPr>
          <w:rFonts w:ascii="Arial" w:hAnsi="Arial"/>
          <w:sz w:val="18"/>
        </w:rPr>
        <w:t>A: The meta-model only saw predictions generated by base models trained on strictly earlier data. Preprocessing and tuning were repeated inside each forward fold, then the whole ensemble was tested on a later untouched block.</w:t>
      </w:r>
    </w:p>
    <w:p>
      <w:pPr>
        <w:spacing w:after="40"/>
      </w:pPr>
      <w:r>
        <w:rPr>
          <w:rFonts w:ascii="Arial" w:hAnsi="Arial"/>
          <w:b/>
          <w:sz w:val="18"/>
        </w:rPr>
        <w:t>Q: How did you know client flow added value?</w:t>
      </w:r>
    </w:p>
    <w:p>
      <w:pPr>
        <w:spacing w:after="100"/>
        <w:ind w:left="227"/>
      </w:pPr>
      <w:r>
        <w:rPr>
          <w:rFonts w:ascii="Arial" w:hAnsi="Arial"/>
          <w:sz w:val="18"/>
        </w:rPr>
        <w:t>A: I compared the same public market model with and without the proprietary flow block and required incremental performance to persist OOS, across time slices and after latency/cost stress.</w:t>
      </w:r>
    </w:p>
    <w:p>
      <w:pPr>
        <w:spacing w:after="40"/>
      </w:pPr>
      <w:r>
        <w:rPr>
          <w:rFonts w:ascii="Arial" w:hAnsi="Arial"/>
          <w:b/>
          <w:sz w:val="18"/>
        </w:rPr>
        <w:t>Q: What result would make you suspicious?</w:t>
      </w:r>
    </w:p>
    <w:p>
      <w:pPr>
        <w:spacing w:after="100"/>
        <w:ind w:left="227"/>
      </w:pPr>
      <w:r>
        <w:rPr>
          <w:rFonts w:ascii="Arial" w:hAnsi="Arial"/>
          <w:sz w:val="18"/>
        </w:rPr>
        <w:t>A: A dramatic jump in short-horizon accuracy, especially from cross-venue features. I would first inspect timestamp alignment, duplicated observations, scaler fitting, target overlap and outcome-derived fields before believing the model.</w:t>
      </w:r>
    </w:p>
    <w:p>
      <w:r>
        <w:br w:type="page"/>
      </w:r>
    </w:p>
    <w:p>
      <w:pPr>
        <w:pStyle w:val="Heading1"/>
        <w:keepNext/>
        <w:spacing w:before="240" w:after="100"/>
      </w:pPr>
      <w:r>
        <w:rPr>
          <w:rFonts w:ascii="Arial" w:hAnsi="Arial"/>
          <w:b/>
          <w:sz w:val="30"/>
        </w:rPr>
        <w:t>3. Electronic RFQ pricing / chance-to-fill modelling</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CV CLAIM</w:t>
            </w:r>
          </w:p>
          <w:p>
            <w:pPr>
              <w:spacing w:after="0"/>
            </w:pPr>
            <w:r>
              <w:rPr>
                <w:rFonts w:ascii="Arial" w:hAnsi="Arial"/>
                <w:sz w:val="18"/>
              </w:rPr>
              <w:t>Developed and deployed chance-to-fill models across Rates, Fixed Income and EUR swaps, combining logistic probability models and Bayesian updating with client, quote, liquidity, competition, volatility and inventory signals.</w:t>
            </w:r>
          </w:p>
        </w:tc>
      </w:tr>
    </w:tbl>
    <w:p>
      <w:pPr>
        <w:spacing w:after="0"/>
      </w:pPr>
    </w:p>
    <w:p>
      <w:pPr>
        <w:pStyle w:val="Heading2"/>
        <w:keepNext/>
        <w:spacing w:before="160" w:after="100"/>
      </w:pPr>
      <w:r>
        <w:rPr>
          <w:rFonts w:ascii="Arial" w:hAnsi="Arial"/>
          <w:b/>
          <w:sz w:val="25"/>
        </w:rPr>
        <w:t>3.1 First principle: three layers that must not be confused</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2268"/>
            <w:shd w:fill="D9E1F2"/>
            <w:tcMar>
              <w:top w:w="80" w:type="dxa"/>
              <w:start w:w="80" w:type="dxa"/>
              <w:bottom w:w="80" w:type="dxa"/>
              <w:end w:w="80" w:type="dxa"/>
            </w:tcMar>
            <w:vAlign w:val="center"/>
          </w:tcPr>
          <w:p>
            <w:pPr>
              <w:jc w:val="left"/>
            </w:pPr>
            <w:r>
              <w:rPr>
                <w:rFonts w:ascii="Arial" w:hAnsi="Arial"/>
                <w:b/>
                <w:sz w:val="16"/>
              </w:rPr>
              <w:t>Layer</w:t>
            </w:r>
          </w:p>
        </w:tc>
        <w:tc>
          <w:tcPr>
            <w:tcW w:type="dxa" w:w="4082"/>
            <w:shd w:fill="D9E1F2"/>
            <w:tcMar>
              <w:top w:w="80" w:type="dxa"/>
              <w:start w:w="80" w:type="dxa"/>
              <w:bottom w:w="80" w:type="dxa"/>
              <w:end w:w="80" w:type="dxa"/>
            </w:tcMar>
            <w:vAlign w:val="center"/>
          </w:tcPr>
          <w:p>
            <w:pPr>
              <w:jc w:val="left"/>
            </w:pPr>
            <w:r>
              <w:rPr>
                <w:rFonts w:ascii="Arial" w:hAnsi="Arial"/>
                <w:b/>
                <w:sz w:val="16"/>
              </w:rPr>
              <w:t>Question</w:t>
            </w:r>
          </w:p>
        </w:tc>
        <w:tc>
          <w:tcPr>
            <w:tcW w:type="dxa" w:w="3402"/>
            <w:shd w:fill="D9E1F2"/>
            <w:tcMar>
              <w:top w:w="80" w:type="dxa"/>
              <w:start w:w="80" w:type="dxa"/>
              <w:bottom w:w="80" w:type="dxa"/>
              <w:end w:w="80" w:type="dxa"/>
            </w:tcMar>
            <w:vAlign w:val="center"/>
          </w:tcPr>
          <w:p>
            <w:pPr>
              <w:jc w:val="left"/>
            </w:pPr>
            <w:r>
              <w:rPr>
                <w:rFonts w:ascii="Arial" w:hAnsi="Arial"/>
                <w:b/>
                <w:sz w:val="16"/>
              </w:rPr>
              <w:t>Example method</w:t>
            </w:r>
          </w:p>
        </w:tc>
      </w:tr>
      <w:tr>
        <w:tc>
          <w:tcPr>
            <w:tcW w:type="dxa" w:w="2268"/>
            <w:tcMar>
              <w:top w:w="75" w:type="dxa"/>
              <w:start w:w="80" w:type="dxa"/>
              <w:bottom w:w="75" w:type="dxa"/>
              <w:end w:w="80" w:type="dxa"/>
            </w:tcMar>
            <w:vAlign w:val="top"/>
          </w:tcPr>
          <w:p>
            <w:pPr>
              <w:spacing w:after="0"/>
            </w:pPr>
            <w:r>
              <w:rPr>
                <w:rFonts w:ascii="Arial" w:hAnsi="Arial"/>
                <w:b/>
                <w:sz w:val="16"/>
              </w:rPr>
              <w:t>Fair-value / pricing model</w:t>
            </w:r>
          </w:p>
        </w:tc>
        <w:tc>
          <w:tcPr>
            <w:tcW w:type="dxa" w:w="4082"/>
            <w:tcMar>
              <w:top w:w="75" w:type="dxa"/>
              <w:start w:w="80" w:type="dxa"/>
              <w:bottom w:w="75" w:type="dxa"/>
              <w:end w:w="80" w:type="dxa"/>
            </w:tcMar>
            <w:vAlign w:val="top"/>
          </w:tcPr>
          <w:p>
            <w:pPr>
              <w:spacing w:after="0"/>
            </w:pPr>
            <w:r>
              <w:rPr>
                <w:rFonts w:ascii="Arial" w:hAnsi="Arial"/>
                <w:b w:val="0"/>
                <w:sz w:val="16"/>
              </w:rPr>
              <w:t>What is the instrument worth given curves, cash flows and market inputs?</w:t>
            </w:r>
          </w:p>
        </w:tc>
        <w:tc>
          <w:tcPr>
            <w:tcW w:type="dxa" w:w="3402"/>
            <w:tcMar>
              <w:top w:w="75" w:type="dxa"/>
              <w:start w:w="80" w:type="dxa"/>
              <w:bottom w:w="75" w:type="dxa"/>
              <w:end w:w="80" w:type="dxa"/>
            </w:tcMar>
            <w:vAlign w:val="top"/>
          </w:tcPr>
          <w:p>
            <w:pPr>
              <w:spacing w:after="0"/>
            </w:pPr>
            <w:r>
              <w:rPr>
                <w:rFonts w:ascii="Arial" w:hAnsi="Arial"/>
                <w:b w:val="0"/>
                <w:sz w:val="16"/>
              </w:rPr>
              <w:t>Bond/swap valuation library, curve construction, sensitivities.</w:t>
            </w:r>
          </w:p>
        </w:tc>
      </w:tr>
      <w:tr>
        <w:tc>
          <w:tcPr>
            <w:tcW w:type="dxa" w:w="2268"/>
            <w:tcMar>
              <w:top w:w="75" w:type="dxa"/>
              <w:start w:w="80" w:type="dxa"/>
              <w:bottom w:w="75" w:type="dxa"/>
              <w:end w:w="80" w:type="dxa"/>
            </w:tcMar>
            <w:vAlign w:val="top"/>
          </w:tcPr>
          <w:p>
            <w:pPr>
              <w:spacing w:after="0"/>
            </w:pPr>
            <w:r>
              <w:rPr>
                <w:rFonts w:ascii="Arial" w:hAnsi="Arial"/>
                <w:b/>
                <w:sz w:val="16"/>
              </w:rPr>
              <w:t>Chance-to-fill model</w:t>
            </w:r>
          </w:p>
        </w:tc>
        <w:tc>
          <w:tcPr>
            <w:tcW w:type="dxa" w:w="4082"/>
            <w:tcMar>
              <w:top w:w="75" w:type="dxa"/>
              <w:start w:w="80" w:type="dxa"/>
              <w:bottom w:w="75" w:type="dxa"/>
              <w:end w:w="80" w:type="dxa"/>
            </w:tcMar>
            <w:vAlign w:val="top"/>
          </w:tcPr>
          <w:p>
            <w:pPr>
              <w:spacing w:after="0"/>
            </w:pPr>
            <w:r>
              <w:rPr>
                <w:rFonts w:ascii="Arial" w:hAnsi="Arial"/>
                <w:b w:val="0"/>
                <w:sz w:val="16"/>
              </w:rPr>
              <w:t>Given a candidate quote and context, what is the probability the client trades with us?</w:t>
            </w:r>
          </w:p>
        </w:tc>
        <w:tc>
          <w:tcPr>
            <w:tcW w:type="dxa" w:w="3402"/>
            <w:tcMar>
              <w:top w:w="75" w:type="dxa"/>
              <w:start w:w="80" w:type="dxa"/>
              <w:bottom w:w="75" w:type="dxa"/>
              <w:end w:w="80" w:type="dxa"/>
            </w:tcMar>
            <w:vAlign w:val="top"/>
          </w:tcPr>
          <w:p>
            <w:pPr>
              <w:spacing w:after="0"/>
            </w:pPr>
            <w:r>
              <w:rPr>
                <w:rFonts w:ascii="Arial" w:hAnsi="Arial"/>
                <w:b w:val="0"/>
                <w:sz w:val="16"/>
              </w:rPr>
              <w:t>Logistic regression, calibrated classifier, Bayesian client/segment update.</w:t>
            </w:r>
          </w:p>
        </w:tc>
      </w:tr>
      <w:tr>
        <w:tc>
          <w:tcPr>
            <w:tcW w:type="dxa" w:w="2268"/>
            <w:tcMar>
              <w:top w:w="75" w:type="dxa"/>
              <w:start w:w="80" w:type="dxa"/>
              <w:bottom w:w="75" w:type="dxa"/>
              <w:end w:w="80" w:type="dxa"/>
            </w:tcMar>
            <w:vAlign w:val="top"/>
          </w:tcPr>
          <w:p>
            <w:pPr>
              <w:spacing w:after="0"/>
            </w:pPr>
            <w:r>
              <w:rPr>
                <w:rFonts w:ascii="Arial" w:hAnsi="Arial"/>
                <w:b/>
                <w:sz w:val="16"/>
              </w:rPr>
              <w:t>Quoting policy</w:t>
            </w:r>
          </w:p>
        </w:tc>
        <w:tc>
          <w:tcPr>
            <w:tcW w:type="dxa" w:w="4082"/>
            <w:tcMar>
              <w:top w:w="75" w:type="dxa"/>
              <w:start w:w="80" w:type="dxa"/>
              <w:bottom w:w="75" w:type="dxa"/>
              <w:end w:w="80" w:type="dxa"/>
            </w:tcMar>
            <w:vAlign w:val="top"/>
          </w:tcPr>
          <w:p>
            <w:pPr>
              <w:spacing w:after="0"/>
            </w:pPr>
            <w:r>
              <w:rPr>
                <w:rFonts w:ascii="Arial" w:hAnsi="Arial"/>
                <w:b w:val="0"/>
                <w:sz w:val="16"/>
              </w:rPr>
              <w:t>Which quote should we actually offer?</w:t>
            </w:r>
          </w:p>
        </w:tc>
        <w:tc>
          <w:tcPr>
            <w:tcW w:type="dxa" w:w="3402"/>
            <w:tcMar>
              <w:top w:w="75" w:type="dxa"/>
              <w:start w:w="80" w:type="dxa"/>
              <w:bottom w:w="75" w:type="dxa"/>
              <w:end w:w="80" w:type="dxa"/>
            </w:tcMar>
            <w:vAlign w:val="top"/>
          </w:tcPr>
          <w:p>
            <w:pPr>
              <w:spacing w:after="0"/>
            </w:pPr>
            <w:r>
              <w:rPr>
                <w:rFonts w:ascii="Arial" w:hAnsi="Arial"/>
                <w:b w:val="0"/>
                <w:sz w:val="16"/>
              </w:rPr>
              <w:t>Expected-value grid search subject to limits, inventory and risk constraints.</w:t>
            </w:r>
          </w:p>
        </w:tc>
      </w:tr>
    </w:tbl>
    <w:p>
      <w:pPr>
        <w:spacing w:after="0"/>
      </w:pPr>
    </w:p>
    <w:p>
      <w:pPr>
        <w:pStyle w:val="Heading2"/>
        <w:keepNext/>
        <w:spacing w:before="160" w:after="100"/>
      </w:pPr>
      <w:r>
        <w:rPr>
          <w:rFonts w:ascii="Arial" w:hAnsi="Arial"/>
          <w:b/>
          <w:sz w:val="25"/>
        </w:rPr>
        <w:t>3.2 Hypothetical scope</w:t>
      </w:r>
    </w:p>
    <w:p>
      <w:pPr>
        <w:keepNext w:val="0"/>
        <w:spacing w:after="100" w:line="252" w:lineRule="auto"/>
      </w:pPr>
      <w:r>
        <w:rPr>
          <w:rFonts w:ascii="Arial" w:hAnsi="Arial"/>
          <w:i w:val="0"/>
        </w:rPr>
        <w:t>Use two illustrative sub-problems: an investment-grade bond RFQ and a EUR interest-rate swap RFQ. The same modelling principles apply, but units differ, so the quote feature is normalised into an economically comparable client concession / dealer edge rather than raw price points.</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18"/>
        <w:gridCol w:w="5018"/>
      </w:tblGrid>
      <w:tr>
        <w:trPr>
          <w:tblHeader w:val="true"/>
        </w:trPr>
        <w:tc>
          <w:tcPr>
            <w:tcW w:type="dxa" w:w="2381"/>
            <w:shd w:fill="D9E1F2"/>
            <w:tcMar>
              <w:top w:w="80" w:type="dxa"/>
              <w:start w:w="80" w:type="dxa"/>
              <w:bottom w:w="80" w:type="dxa"/>
              <w:end w:w="80" w:type="dxa"/>
            </w:tcMar>
            <w:vAlign w:val="center"/>
          </w:tcPr>
          <w:p>
            <w:pPr>
              <w:jc w:val="left"/>
            </w:pPr>
            <w:r>
              <w:rPr>
                <w:rFonts w:ascii="Arial" w:hAnsi="Arial"/>
                <w:b/>
                <w:sz w:val="16"/>
              </w:rPr>
              <w:t>Component</w:t>
            </w:r>
          </w:p>
        </w:tc>
        <w:tc>
          <w:tcPr>
            <w:tcW w:type="dxa" w:w="7370"/>
            <w:shd w:fill="D9E1F2"/>
            <w:tcMar>
              <w:top w:w="80" w:type="dxa"/>
              <w:start w:w="80" w:type="dxa"/>
              <w:bottom w:w="80" w:type="dxa"/>
              <w:end w:w="80" w:type="dxa"/>
            </w:tcMar>
            <w:vAlign w:val="center"/>
          </w:tcPr>
          <w:p>
            <w:pPr>
              <w:jc w:val="left"/>
            </w:pPr>
            <w:r>
              <w:rPr>
                <w:rFonts w:ascii="Arial" w:hAnsi="Arial"/>
                <w:b/>
                <w:sz w:val="16"/>
              </w:rPr>
              <w:t>Illustrative design</w:t>
            </w:r>
          </w:p>
        </w:tc>
      </w:tr>
      <w:tr>
        <w:tc>
          <w:tcPr>
            <w:tcW w:type="dxa" w:w="2381"/>
            <w:tcMar>
              <w:top w:w="75" w:type="dxa"/>
              <w:start w:w="80" w:type="dxa"/>
              <w:bottom w:w="75" w:type="dxa"/>
              <w:end w:w="80" w:type="dxa"/>
            </w:tcMar>
            <w:vAlign w:val="top"/>
          </w:tcPr>
          <w:p>
            <w:pPr>
              <w:spacing w:after="0"/>
            </w:pPr>
            <w:r>
              <w:rPr>
                <w:rFonts w:ascii="Arial" w:hAnsi="Arial"/>
                <w:b/>
                <w:sz w:val="16"/>
              </w:rPr>
              <w:t>Observation unit</w:t>
            </w:r>
          </w:p>
        </w:tc>
        <w:tc>
          <w:tcPr>
            <w:tcW w:type="dxa" w:w="7370"/>
            <w:tcMar>
              <w:top w:w="75" w:type="dxa"/>
              <w:start w:w="80" w:type="dxa"/>
              <w:bottom w:w="75" w:type="dxa"/>
              <w:end w:w="80" w:type="dxa"/>
            </w:tcMar>
            <w:vAlign w:val="top"/>
          </w:tcPr>
          <w:p>
            <w:pPr>
              <w:spacing w:after="0"/>
            </w:pPr>
            <w:r>
              <w:rPr>
                <w:rFonts w:ascii="Arial" w:hAnsi="Arial"/>
                <w:b w:val="0"/>
                <w:sz w:val="16"/>
              </w:rPr>
              <w:t>One final candidate quote state per RFQ, with candidate-specific price feature.</w:t>
            </w:r>
          </w:p>
        </w:tc>
      </w:tr>
      <w:tr>
        <w:tc>
          <w:tcPr>
            <w:tcW w:type="dxa" w:w="2381"/>
            <w:tcMar>
              <w:top w:w="75" w:type="dxa"/>
              <w:start w:w="80" w:type="dxa"/>
              <w:bottom w:w="75" w:type="dxa"/>
              <w:end w:w="80" w:type="dxa"/>
            </w:tcMar>
            <w:vAlign w:val="top"/>
          </w:tcPr>
          <w:p>
            <w:pPr>
              <w:spacing w:after="0"/>
            </w:pPr>
            <w:r>
              <w:rPr>
                <w:rFonts w:ascii="Arial" w:hAnsi="Arial"/>
                <w:b/>
                <w:sz w:val="16"/>
              </w:rPr>
              <w:t>Primary target</w:t>
            </w:r>
          </w:p>
        </w:tc>
        <w:tc>
          <w:tcPr>
            <w:tcW w:type="dxa" w:w="7370"/>
            <w:tcMar>
              <w:top w:w="75" w:type="dxa"/>
              <w:start w:w="80" w:type="dxa"/>
              <w:bottom w:w="75" w:type="dxa"/>
              <w:end w:w="80" w:type="dxa"/>
            </w:tcMar>
            <w:vAlign w:val="top"/>
          </w:tcPr>
          <w:p>
            <w:pPr>
              <w:spacing w:after="0"/>
            </w:pPr>
            <w:r>
              <w:rPr>
                <w:rFonts w:ascii="Arial" w:hAnsi="Arial"/>
                <w:b w:val="0"/>
                <w:sz w:val="16"/>
              </w:rPr>
              <w:t>1 if the RFQ becomes our trade under the defined eligible outcome set; 0 otherwise.</w:t>
            </w:r>
          </w:p>
        </w:tc>
      </w:tr>
      <w:tr>
        <w:tc>
          <w:tcPr>
            <w:tcW w:type="dxa" w:w="2381"/>
            <w:tcMar>
              <w:top w:w="75" w:type="dxa"/>
              <w:start w:w="80" w:type="dxa"/>
              <w:bottom w:w="75" w:type="dxa"/>
              <w:end w:w="80" w:type="dxa"/>
            </w:tcMar>
            <w:vAlign w:val="top"/>
          </w:tcPr>
          <w:p>
            <w:pPr>
              <w:spacing w:after="0"/>
            </w:pPr>
            <w:r>
              <w:rPr>
                <w:rFonts w:ascii="Arial" w:hAnsi="Arial"/>
                <w:b/>
                <w:sz w:val="16"/>
              </w:rPr>
              <w:t>Data horizon</w:t>
            </w:r>
          </w:p>
        </w:tc>
        <w:tc>
          <w:tcPr>
            <w:tcW w:type="dxa" w:w="7370"/>
            <w:tcMar>
              <w:top w:w="75" w:type="dxa"/>
              <w:start w:w="80" w:type="dxa"/>
              <w:bottom w:w="75" w:type="dxa"/>
              <w:end w:w="80" w:type="dxa"/>
            </w:tcMar>
            <w:vAlign w:val="top"/>
          </w:tcPr>
          <w:p>
            <w:pPr>
              <w:spacing w:after="0"/>
            </w:pPr>
            <w:r>
              <w:rPr>
                <w:rFonts w:ascii="Arial" w:hAnsi="Arial"/>
                <w:b w:val="0"/>
                <w:sz w:val="16"/>
              </w:rPr>
              <w:t>18-24 months, chronological split.</w:t>
            </w:r>
          </w:p>
        </w:tc>
      </w:tr>
      <w:tr>
        <w:tc>
          <w:tcPr>
            <w:tcW w:type="dxa" w:w="2381"/>
            <w:tcMar>
              <w:top w:w="75" w:type="dxa"/>
              <w:start w:w="80" w:type="dxa"/>
              <w:bottom w:w="75" w:type="dxa"/>
              <w:end w:w="80" w:type="dxa"/>
            </w:tcMar>
            <w:vAlign w:val="top"/>
          </w:tcPr>
          <w:p>
            <w:pPr>
              <w:spacing w:after="0"/>
            </w:pPr>
            <w:r>
              <w:rPr>
                <w:rFonts w:ascii="Arial" w:hAnsi="Arial"/>
                <w:b/>
                <w:sz w:val="16"/>
              </w:rPr>
              <w:t>Model</w:t>
            </w:r>
          </w:p>
        </w:tc>
        <w:tc>
          <w:tcPr>
            <w:tcW w:type="dxa" w:w="7370"/>
            <w:tcMar>
              <w:top w:w="75" w:type="dxa"/>
              <w:start w:w="80" w:type="dxa"/>
              <w:bottom w:w="75" w:type="dxa"/>
              <w:end w:w="80" w:type="dxa"/>
            </w:tcMar>
            <w:vAlign w:val="top"/>
          </w:tcPr>
          <w:p>
            <w:pPr>
              <w:spacing w:after="0"/>
            </w:pPr>
            <w:r>
              <w:rPr>
                <w:rFonts w:ascii="Arial" w:hAnsi="Arial"/>
                <w:b w:val="0"/>
                <w:sz w:val="16"/>
              </w:rPr>
              <w:t>Regularised logistic regression with interactions; gradient-boosted challenger; probability calibration.</w:t>
            </w:r>
          </w:p>
        </w:tc>
      </w:tr>
      <w:tr>
        <w:tc>
          <w:tcPr>
            <w:tcW w:type="dxa" w:w="2381"/>
            <w:tcMar>
              <w:top w:w="75" w:type="dxa"/>
              <w:start w:w="80" w:type="dxa"/>
              <w:bottom w:w="75" w:type="dxa"/>
              <w:end w:w="80" w:type="dxa"/>
            </w:tcMar>
            <w:vAlign w:val="top"/>
          </w:tcPr>
          <w:p>
            <w:pPr>
              <w:spacing w:after="0"/>
            </w:pPr>
            <w:r>
              <w:rPr>
                <w:rFonts w:ascii="Arial" w:hAnsi="Arial"/>
                <w:b/>
                <w:sz w:val="16"/>
              </w:rPr>
              <w:t>Bayesian element</w:t>
            </w:r>
          </w:p>
        </w:tc>
        <w:tc>
          <w:tcPr>
            <w:tcW w:type="dxa" w:w="7370"/>
            <w:tcMar>
              <w:top w:w="75" w:type="dxa"/>
              <w:start w:w="80" w:type="dxa"/>
              <w:bottom w:w="75" w:type="dxa"/>
              <w:end w:w="80" w:type="dxa"/>
            </w:tcMar>
            <w:vAlign w:val="top"/>
          </w:tcPr>
          <w:p>
            <w:pPr>
              <w:spacing w:after="0"/>
            </w:pPr>
            <w:r>
              <w:rPr>
                <w:rFonts w:ascii="Arial" w:hAnsi="Arial"/>
                <w:b w:val="0"/>
                <w:sz w:val="16"/>
              </w:rPr>
              <w:t>Shrunk client/segment response propensity updated as new outcomes mature.</w:t>
            </w:r>
          </w:p>
        </w:tc>
      </w:tr>
      <w:tr>
        <w:tc>
          <w:tcPr>
            <w:tcW w:type="dxa" w:w="2381"/>
            <w:tcMar>
              <w:top w:w="75" w:type="dxa"/>
              <w:start w:w="80" w:type="dxa"/>
              <w:bottom w:w="75" w:type="dxa"/>
              <w:end w:w="80" w:type="dxa"/>
            </w:tcMar>
            <w:vAlign w:val="top"/>
          </w:tcPr>
          <w:p>
            <w:pPr>
              <w:spacing w:after="0"/>
            </w:pPr>
            <w:r>
              <w:rPr>
                <w:rFonts w:ascii="Arial" w:hAnsi="Arial"/>
                <w:b/>
                <w:sz w:val="16"/>
              </w:rPr>
              <w:t>Policy evaluation</w:t>
            </w:r>
          </w:p>
        </w:tc>
        <w:tc>
          <w:tcPr>
            <w:tcW w:type="dxa" w:w="7370"/>
            <w:tcMar>
              <w:top w:w="75" w:type="dxa"/>
              <w:start w:w="80" w:type="dxa"/>
              <w:bottom w:w="75" w:type="dxa"/>
              <w:end w:w="80" w:type="dxa"/>
            </w:tcMar>
            <w:vAlign w:val="top"/>
          </w:tcPr>
          <w:p>
            <w:pPr>
              <w:spacing w:after="0"/>
            </w:pPr>
            <w:r>
              <w:rPr>
                <w:rFonts w:ascii="Arial" w:hAnsi="Arial"/>
                <w:b w:val="0"/>
                <w:sz w:val="16"/>
              </w:rPr>
              <w:t>Score a permitted candidate quote grid; combine p(win | quote, state) with economic contribution.</w:t>
            </w:r>
          </w:p>
        </w:tc>
      </w:tr>
    </w:tbl>
    <w:p>
      <w:pPr>
        <w:spacing w:after="0"/>
      </w:pPr>
    </w:p>
    <w:p>
      <w:pPr>
        <w:pStyle w:val="Heading2"/>
        <w:keepNext/>
        <w:spacing w:before="160" w:after="100"/>
      </w:pPr>
      <w:r>
        <w:rPr>
          <w:rFonts w:ascii="Arial" w:hAnsi="Arial"/>
          <w:b/>
          <w:sz w:val="25"/>
        </w:rPr>
        <w:t>3.3 Observation and target definition</w:t>
      </w:r>
    </w:p>
    <w:p>
      <w:pPr>
        <w:keepNext w:val="0"/>
        <w:spacing w:after="100" w:line="252" w:lineRule="auto"/>
      </w:pPr>
      <w:r>
        <w:rPr>
          <w:rFonts w:ascii="Arial" w:hAnsi="Arial"/>
          <w:i w:val="0"/>
        </w:rPr>
        <w:t>A technically clean row includes the RFQ identifier, product terms, side, size/notional, request time, quote time, candidate quote, reference market at quote time, quote expiry, known competition context, client/segment, inventory before quoting and the final outcome with its availability time.</w:t>
      </w:r>
    </w:p>
    <w:p>
      <w:pPr>
        <w:keepNext w:val="0"/>
        <w:spacing w:after="100" w:line="252" w:lineRule="auto"/>
      </w:pPr>
      <w:r>
        <w:rPr>
          <w:rFonts w:ascii="Arial" w:hAnsi="Arial"/>
          <w:i w:val="0"/>
        </w:rPr>
        <w:t>Outcome definitions matter. "Won", "lost to another dealer", "client did not trade", "cancelled", "expired" and "unknown" are not automatically the same. If the target is unconditional chance that an eligible quoted RFQ becomes our trade, known no-trades can be zeros. If the target is share conditional on the client trading somewhere, no-trade cases should be excluded and execution propensity modelled separately.</w:t>
      </w:r>
    </w:p>
    <w:p>
      <w:pPr>
        <w:pStyle w:val="Heading2"/>
        <w:keepNext/>
        <w:spacing w:before="160" w:after="100"/>
      </w:pPr>
      <w:r>
        <w:rPr>
          <w:rFonts w:ascii="Arial" w:hAnsi="Arial"/>
          <w:b/>
          <w:sz w:val="25"/>
        </w:rPr>
        <w:t>3.4 Feature set</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1417"/>
            <w:shd w:fill="D9E1F2"/>
            <w:tcMar>
              <w:top w:w="80" w:type="dxa"/>
              <w:start w:w="80" w:type="dxa"/>
              <w:bottom w:w="80" w:type="dxa"/>
              <w:end w:w="80" w:type="dxa"/>
            </w:tcMar>
            <w:vAlign w:val="center"/>
          </w:tcPr>
          <w:p>
            <w:pPr>
              <w:jc w:val="left"/>
            </w:pPr>
            <w:r>
              <w:rPr>
                <w:rFonts w:ascii="Arial" w:hAnsi="Arial"/>
                <w:b/>
                <w:sz w:val="14"/>
              </w:rPr>
              <w:t>Family</w:t>
            </w:r>
          </w:p>
        </w:tc>
        <w:tc>
          <w:tcPr>
            <w:tcW w:type="dxa" w:w="4535"/>
            <w:shd w:fill="D9E1F2"/>
            <w:tcMar>
              <w:top w:w="80" w:type="dxa"/>
              <w:start w:w="80" w:type="dxa"/>
              <w:bottom w:w="80" w:type="dxa"/>
              <w:end w:w="80" w:type="dxa"/>
            </w:tcMar>
            <w:vAlign w:val="center"/>
          </w:tcPr>
          <w:p>
            <w:pPr>
              <w:jc w:val="left"/>
            </w:pPr>
            <w:r>
              <w:rPr>
                <w:rFonts w:ascii="Arial" w:hAnsi="Arial"/>
                <w:b/>
                <w:sz w:val="14"/>
              </w:rPr>
              <w:t>Illustrative features</w:t>
            </w:r>
          </w:p>
        </w:tc>
        <w:tc>
          <w:tcPr>
            <w:tcW w:type="dxa" w:w="3798"/>
            <w:shd w:fill="D9E1F2"/>
            <w:tcMar>
              <w:top w:w="80" w:type="dxa"/>
              <w:start w:w="80" w:type="dxa"/>
              <w:bottom w:w="80" w:type="dxa"/>
              <w:end w:w="80" w:type="dxa"/>
            </w:tcMar>
            <w:vAlign w:val="center"/>
          </w:tcPr>
          <w:p>
            <w:pPr>
              <w:jc w:val="left"/>
            </w:pPr>
            <w:r>
              <w:rPr>
                <w:rFonts w:ascii="Arial" w:hAnsi="Arial"/>
                <w:b/>
                <w:sz w:val="14"/>
              </w:rPr>
              <w:t>Technical note</w:t>
            </w:r>
          </w:p>
        </w:tc>
      </w:tr>
      <w:tr>
        <w:tc>
          <w:tcPr>
            <w:tcW w:type="dxa" w:w="1417"/>
            <w:tcMar>
              <w:top w:w="75" w:type="dxa"/>
              <w:start w:w="80" w:type="dxa"/>
              <w:bottom w:w="75" w:type="dxa"/>
              <w:end w:w="80" w:type="dxa"/>
            </w:tcMar>
            <w:vAlign w:val="top"/>
          </w:tcPr>
          <w:p>
            <w:pPr>
              <w:spacing w:after="0"/>
            </w:pPr>
            <w:r>
              <w:rPr>
                <w:rFonts w:ascii="Arial" w:hAnsi="Arial"/>
                <w:b/>
                <w:sz w:val="14"/>
              </w:rPr>
              <w:t>Client</w:t>
            </w:r>
          </w:p>
        </w:tc>
        <w:tc>
          <w:tcPr>
            <w:tcW w:type="dxa" w:w="4535"/>
            <w:tcMar>
              <w:top w:w="75" w:type="dxa"/>
              <w:start w:w="80" w:type="dxa"/>
              <w:bottom w:w="75" w:type="dxa"/>
              <w:end w:w="80" w:type="dxa"/>
            </w:tcMar>
            <w:vAlign w:val="top"/>
          </w:tcPr>
          <w:p>
            <w:pPr>
              <w:spacing w:after="0"/>
            </w:pPr>
            <w:r>
              <w:rPr>
                <w:rFonts w:ascii="Arial" w:hAnsi="Arial"/>
                <w:b w:val="0"/>
                <w:sz w:val="14"/>
              </w:rPr>
              <w:t>historical hit rate, recency, product affinity, segment, response latency</w:t>
            </w:r>
          </w:p>
        </w:tc>
        <w:tc>
          <w:tcPr>
            <w:tcW w:type="dxa" w:w="3798"/>
            <w:tcMar>
              <w:top w:w="75" w:type="dxa"/>
              <w:start w:w="80" w:type="dxa"/>
              <w:bottom w:w="75" w:type="dxa"/>
              <w:end w:w="80" w:type="dxa"/>
            </w:tcMar>
            <w:vAlign w:val="top"/>
          </w:tcPr>
          <w:p>
            <w:pPr>
              <w:spacing w:after="0"/>
            </w:pPr>
            <w:r>
              <w:rPr>
                <w:rFonts w:ascii="Arial" w:hAnsi="Arial"/>
                <w:b w:val="0"/>
                <w:sz w:val="14"/>
              </w:rPr>
              <w:t>Use shrinkage for sparse clients; identifiers can overfit.</w:t>
            </w:r>
          </w:p>
        </w:tc>
      </w:tr>
      <w:tr>
        <w:tc>
          <w:tcPr>
            <w:tcW w:type="dxa" w:w="1417"/>
            <w:tcMar>
              <w:top w:w="75" w:type="dxa"/>
              <w:start w:w="80" w:type="dxa"/>
              <w:bottom w:w="75" w:type="dxa"/>
              <w:end w:w="80" w:type="dxa"/>
            </w:tcMar>
            <w:vAlign w:val="top"/>
          </w:tcPr>
          <w:p>
            <w:pPr>
              <w:spacing w:after="0"/>
            </w:pPr>
            <w:r>
              <w:rPr>
                <w:rFonts w:ascii="Arial" w:hAnsi="Arial"/>
                <w:b/>
                <w:sz w:val="14"/>
              </w:rPr>
              <w:t>Quote</w:t>
            </w:r>
          </w:p>
        </w:tc>
        <w:tc>
          <w:tcPr>
            <w:tcW w:type="dxa" w:w="4535"/>
            <w:tcMar>
              <w:top w:w="75" w:type="dxa"/>
              <w:start w:w="80" w:type="dxa"/>
              <w:bottom w:w="75" w:type="dxa"/>
              <w:end w:w="80" w:type="dxa"/>
            </w:tcMar>
            <w:vAlign w:val="top"/>
          </w:tcPr>
          <w:p>
            <w:pPr>
              <w:spacing w:after="0"/>
            </w:pPr>
            <w:r>
              <w:rPr>
                <w:rFonts w:ascii="Arial" w:hAnsi="Arial"/>
                <w:b w:val="0"/>
                <w:sz w:val="14"/>
              </w:rPr>
              <w:t>client concession vs reference, quote rank proxy, distance to mid, quote age</w:t>
            </w:r>
          </w:p>
        </w:tc>
        <w:tc>
          <w:tcPr>
            <w:tcW w:type="dxa" w:w="3798"/>
            <w:tcMar>
              <w:top w:w="75" w:type="dxa"/>
              <w:start w:w="80" w:type="dxa"/>
              <w:bottom w:w="75" w:type="dxa"/>
              <w:end w:w="80" w:type="dxa"/>
            </w:tcMar>
            <w:vAlign w:val="top"/>
          </w:tcPr>
          <w:p>
            <w:pPr>
              <w:spacing w:after="0"/>
            </w:pPr>
            <w:r>
              <w:rPr>
                <w:rFonts w:ascii="Arial" w:hAnsi="Arial"/>
                <w:b w:val="0"/>
                <w:sz w:val="14"/>
              </w:rPr>
              <w:t>Encode direction so larger value consistently means better for client.</w:t>
            </w:r>
          </w:p>
        </w:tc>
      </w:tr>
      <w:tr>
        <w:tc>
          <w:tcPr>
            <w:tcW w:type="dxa" w:w="1417"/>
            <w:tcMar>
              <w:top w:w="75" w:type="dxa"/>
              <w:start w:w="80" w:type="dxa"/>
              <w:bottom w:w="75" w:type="dxa"/>
              <w:end w:w="80" w:type="dxa"/>
            </w:tcMar>
            <w:vAlign w:val="top"/>
          </w:tcPr>
          <w:p>
            <w:pPr>
              <w:spacing w:after="0"/>
            </w:pPr>
            <w:r>
              <w:rPr>
                <w:rFonts w:ascii="Arial" w:hAnsi="Arial"/>
                <w:b/>
                <w:sz w:val="14"/>
              </w:rPr>
              <w:t>Instrument</w:t>
            </w:r>
          </w:p>
        </w:tc>
        <w:tc>
          <w:tcPr>
            <w:tcW w:type="dxa" w:w="4535"/>
            <w:tcMar>
              <w:top w:w="75" w:type="dxa"/>
              <w:start w:w="80" w:type="dxa"/>
              <w:bottom w:w="75" w:type="dxa"/>
              <w:end w:w="80" w:type="dxa"/>
            </w:tcMar>
            <w:vAlign w:val="top"/>
          </w:tcPr>
          <w:p>
            <w:pPr>
              <w:spacing w:after="0"/>
            </w:pPr>
            <w:r>
              <w:rPr>
                <w:rFonts w:ascii="Arial" w:hAnsi="Arial"/>
                <w:b w:val="0"/>
                <w:sz w:val="14"/>
              </w:rPr>
              <w:t>product, maturity, rating/sector, currency, DV01, notional</w:t>
            </w:r>
          </w:p>
        </w:tc>
        <w:tc>
          <w:tcPr>
            <w:tcW w:type="dxa" w:w="3798"/>
            <w:tcMar>
              <w:top w:w="75" w:type="dxa"/>
              <w:start w:w="80" w:type="dxa"/>
              <w:bottom w:w="75" w:type="dxa"/>
              <w:end w:w="80" w:type="dxa"/>
            </w:tcMar>
            <w:vAlign w:val="top"/>
          </w:tcPr>
          <w:p>
            <w:pPr>
              <w:spacing w:after="0"/>
            </w:pPr>
            <w:r>
              <w:rPr>
                <w:rFonts w:ascii="Arial" w:hAnsi="Arial"/>
                <w:b w:val="0"/>
                <w:sz w:val="14"/>
              </w:rPr>
              <w:t>Normalise across products; a bond price point is not a swap bp.</w:t>
            </w:r>
          </w:p>
        </w:tc>
      </w:tr>
      <w:tr>
        <w:tc>
          <w:tcPr>
            <w:tcW w:type="dxa" w:w="1417"/>
            <w:tcMar>
              <w:top w:w="75" w:type="dxa"/>
              <w:start w:w="80" w:type="dxa"/>
              <w:bottom w:w="75" w:type="dxa"/>
              <w:end w:w="80" w:type="dxa"/>
            </w:tcMar>
            <w:vAlign w:val="top"/>
          </w:tcPr>
          <w:p>
            <w:pPr>
              <w:spacing w:after="0"/>
            </w:pPr>
            <w:r>
              <w:rPr>
                <w:rFonts w:ascii="Arial" w:hAnsi="Arial"/>
                <w:b/>
                <w:sz w:val="14"/>
              </w:rPr>
              <w:t>Liquidity</w:t>
            </w:r>
          </w:p>
        </w:tc>
        <w:tc>
          <w:tcPr>
            <w:tcW w:type="dxa" w:w="4535"/>
            <w:tcMar>
              <w:top w:w="75" w:type="dxa"/>
              <w:start w:w="80" w:type="dxa"/>
              <w:bottom w:w="75" w:type="dxa"/>
              <w:end w:w="80" w:type="dxa"/>
            </w:tcMar>
            <w:vAlign w:val="top"/>
          </w:tcPr>
          <w:p>
            <w:pPr>
              <w:spacing w:after="0"/>
            </w:pPr>
            <w:r>
              <w:rPr>
                <w:rFonts w:ascii="Arial" w:hAnsi="Arial"/>
                <w:b w:val="0"/>
                <w:sz w:val="14"/>
              </w:rPr>
              <w:t>bid/ask spread, depth/proxy, recent trading activity, liquidity bucket</w:t>
            </w:r>
          </w:p>
        </w:tc>
        <w:tc>
          <w:tcPr>
            <w:tcW w:type="dxa" w:w="3798"/>
            <w:tcMar>
              <w:top w:w="75" w:type="dxa"/>
              <w:start w:w="80" w:type="dxa"/>
              <w:bottom w:w="75" w:type="dxa"/>
              <w:end w:w="80" w:type="dxa"/>
            </w:tcMar>
            <w:vAlign w:val="top"/>
          </w:tcPr>
          <w:p>
            <w:pPr>
              <w:spacing w:after="0"/>
            </w:pPr>
            <w:r>
              <w:rPr>
                <w:rFonts w:ascii="Arial" w:hAnsi="Arial"/>
                <w:b w:val="0"/>
                <w:sz w:val="14"/>
              </w:rPr>
              <w:t>May interact strongly with size and quote concession.</w:t>
            </w:r>
          </w:p>
        </w:tc>
      </w:tr>
      <w:tr>
        <w:tc>
          <w:tcPr>
            <w:tcW w:type="dxa" w:w="1417"/>
            <w:tcMar>
              <w:top w:w="75" w:type="dxa"/>
              <w:start w:w="80" w:type="dxa"/>
              <w:bottom w:w="75" w:type="dxa"/>
              <w:end w:w="80" w:type="dxa"/>
            </w:tcMar>
            <w:vAlign w:val="top"/>
          </w:tcPr>
          <w:p>
            <w:pPr>
              <w:spacing w:after="0"/>
            </w:pPr>
            <w:r>
              <w:rPr>
                <w:rFonts w:ascii="Arial" w:hAnsi="Arial"/>
                <w:b/>
                <w:sz w:val="14"/>
              </w:rPr>
              <w:t>Competition</w:t>
            </w:r>
          </w:p>
        </w:tc>
        <w:tc>
          <w:tcPr>
            <w:tcW w:type="dxa" w:w="4535"/>
            <w:tcMar>
              <w:top w:w="75" w:type="dxa"/>
              <w:start w:w="80" w:type="dxa"/>
              <w:bottom w:w="75" w:type="dxa"/>
              <w:end w:w="80" w:type="dxa"/>
            </w:tcMar>
            <w:vAlign w:val="top"/>
          </w:tcPr>
          <w:p>
            <w:pPr>
              <w:spacing w:after="0"/>
            </w:pPr>
            <w:r>
              <w:rPr>
                <w:rFonts w:ascii="Arial" w:hAnsi="Arial"/>
                <w:b w:val="0"/>
                <w:sz w:val="14"/>
              </w:rPr>
              <w:t>number of requested dealers if known, platform, client historical competition pattern</w:t>
            </w:r>
          </w:p>
        </w:tc>
        <w:tc>
          <w:tcPr>
            <w:tcW w:type="dxa" w:w="3798"/>
            <w:tcMar>
              <w:top w:w="75" w:type="dxa"/>
              <w:start w:w="80" w:type="dxa"/>
              <w:bottom w:w="75" w:type="dxa"/>
              <w:end w:w="80" w:type="dxa"/>
            </w:tcMar>
            <w:vAlign w:val="top"/>
          </w:tcPr>
          <w:p>
            <w:pPr>
              <w:spacing w:after="0"/>
            </w:pPr>
            <w:r>
              <w:rPr>
                <w:rFonts w:ascii="Arial" w:hAnsi="Arial"/>
                <w:b w:val="0"/>
                <w:sz w:val="14"/>
              </w:rPr>
              <w:t>Do not use later winning quote as a live feature.</w:t>
            </w:r>
          </w:p>
        </w:tc>
      </w:tr>
      <w:tr>
        <w:tc>
          <w:tcPr>
            <w:tcW w:type="dxa" w:w="1417"/>
            <w:tcMar>
              <w:top w:w="75" w:type="dxa"/>
              <w:start w:w="80" w:type="dxa"/>
              <w:bottom w:w="75" w:type="dxa"/>
              <w:end w:w="80" w:type="dxa"/>
            </w:tcMar>
            <w:vAlign w:val="top"/>
          </w:tcPr>
          <w:p>
            <w:pPr>
              <w:spacing w:after="0"/>
            </w:pPr>
            <w:r>
              <w:rPr>
                <w:rFonts w:ascii="Arial" w:hAnsi="Arial"/>
                <w:b/>
                <w:sz w:val="14"/>
              </w:rPr>
              <w:t>Volatility</w:t>
            </w:r>
          </w:p>
        </w:tc>
        <w:tc>
          <w:tcPr>
            <w:tcW w:type="dxa" w:w="4535"/>
            <w:tcMar>
              <w:top w:w="75" w:type="dxa"/>
              <w:start w:w="80" w:type="dxa"/>
              <w:bottom w:w="75" w:type="dxa"/>
              <w:end w:w="80" w:type="dxa"/>
            </w:tcMar>
            <w:vAlign w:val="top"/>
          </w:tcPr>
          <w:p>
            <w:pPr>
              <w:spacing w:after="0"/>
            </w:pPr>
            <w:r>
              <w:rPr>
                <w:rFonts w:ascii="Arial" w:hAnsi="Arial"/>
                <w:b w:val="0"/>
                <w:sz w:val="14"/>
              </w:rPr>
              <w:t>realised vol, spread volatility, event regime</w:t>
            </w:r>
          </w:p>
        </w:tc>
        <w:tc>
          <w:tcPr>
            <w:tcW w:type="dxa" w:w="3798"/>
            <w:tcMar>
              <w:top w:w="75" w:type="dxa"/>
              <w:start w:w="80" w:type="dxa"/>
              <w:bottom w:w="75" w:type="dxa"/>
              <w:end w:w="80" w:type="dxa"/>
            </w:tcMar>
            <w:vAlign w:val="top"/>
          </w:tcPr>
          <w:p>
            <w:pPr>
              <w:spacing w:after="0"/>
            </w:pPr>
            <w:r>
              <w:rPr>
                <w:rFonts w:ascii="Arial" w:hAnsi="Arial"/>
                <w:b w:val="0"/>
                <w:sz w:val="14"/>
              </w:rPr>
              <w:t>Higher uncertainty may reduce quote stability / change price sensitivity.</w:t>
            </w:r>
          </w:p>
        </w:tc>
      </w:tr>
      <w:tr>
        <w:tc>
          <w:tcPr>
            <w:tcW w:type="dxa" w:w="1417"/>
            <w:tcMar>
              <w:top w:w="75" w:type="dxa"/>
              <w:start w:w="80" w:type="dxa"/>
              <w:bottom w:w="75" w:type="dxa"/>
              <w:end w:w="80" w:type="dxa"/>
            </w:tcMar>
            <w:vAlign w:val="top"/>
          </w:tcPr>
          <w:p>
            <w:pPr>
              <w:spacing w:after="0"/>
            </w:pPr>
            <w:r>
              <w:rPr>
                <w:rFonts w:ascii="Arial" w:hAnsi="Arial"/>
                <w:b/>
                <w:sz w:val="14"/>
              </w:rPr>
              <w:t>Inventory</w:t>
            </w:r>
          </w:p>
        </w:tc>
        <w:tc>
          <w:tcPr>
            <w:tcW w:type="dxa" w:w="4535"/>
            <w:tcMar>
              <w:top w:w="75" w:type="dxa"/>
              <w:start w:w="80" w:type="dxa"/>
              <w:bottom w:w="75" w:type="dxa"/>
              <w:end w:w="80" w:type="dxa"/>
            </w:tcMar>
            <w:vAlign w:val="top"/>
          </w:tcPr>
          <w:p>
            <w:pPr>
              <w:spacing w:after="0"/>
            </w:pPr>
            <w:r>
              <w:rPr>
                <w:rFonts w:ascii="Arial" w:hAnsi="Arial"/>
                <w:b w:val="0"/>
                <w:sz w:val="14"/>
              </w:rPr>
              <w:t>signed DV01/notional, concentration, current desk risk state</w:t>
            </w:r>
          </w:p>
        </w:tc>
        <w:tc>
          <w:tcPr>
            <w:tcW w:type="dxa" w:w="3798"/>
            <w:tcMar>
              <w:top w:w="75" w:type="dxa"/>
              <w:start w:w="80" w:type="dxa"/>
              <w:bottom w:w="75" w:type="dxa"/>
              <w:end w:w="80" w:type="dxa"/>
            </w:tcMar>
            <w:vAlign w:val="top"/>
          </w:tcPr>
          <w:p>
            <w:pPr>
              <w:spacing w:after="0"/>
            </w:pPr>
            <w:r>
              <w:rPr>
                <w:rFonts w:ascii="Arial" w:hAnsi="Arial"/>
                <w:b w:val="0"/>
                <w:sz w:val="14"/>
              </w:rPr>
              <w:t>Must be state known before quoting; can influence policy and observed data.</w:t>
            </w:r>
          </w:p>
        </w:tc>
      </w:tr>
    </w:tbl>
    <w:p>
      <w:pPr>
        <w:spacing w:after="0"/>
      </w:pPr>
    </w:p>
    <w:p>
      <w:pPr>
        <w:pStyle w:val="Heading2"/>
        <w:keepNext/>
        <w:spacing w:before="160" w:after="100"/>
      </w:pPr>
      <w:r>
        <w:rPr>
          <w:rFonts w:ascii="Arial" w:hAnsi="Arial"/>
          <w:b/>
          <w:sz w:val="25"/>
        </w:rPr>
        <w:t>3.5 Price-direction engineering</w:t>
      </w:r>
    </w:p>
    <w:p>
      <w:pPr>
        <w:keepNext w:val="0"/>
        <w:spacing w:after="100" w:line="252" w:lineRule="auto"/>
      </w:pPr>
      <w:r>
        <w:rPr>
          <w:rFonts w:ascii="Arial" w:hAnsi="Arial"/>
          <w:i w:val="0"/>
        </w:rPr>
        <w:t>The quote feature should be expressed so the coefficient has one interpretation across buy and sell RFQs. Define a positive concession as a better deal for the client. For a client buy, a lower ask is more attractive; for a client sell, a higher bid is more attractive. Convert each side into a single signed concession variable relative to a contemporaneous fair/reference price.</w:t>
      </w:r>
    </w:p>
    <w:p>
      <w:pPr>
        <w:keepLines/>
        <w:spacing w:before="60" w:after="80"/>
        <w:ind w:left="312" w:right="170"/>
        <w:jc w:val="center"/>
      </w:pPr>
      <w:r>
        <w:rPr>
          <w:rFonts w:ascii="Cambria Math" w:hAnsi="Cambria Math" w:eastAsia="Cambria Math" w:cs="Cambria Math"/>
          <w:sz w:val="21"/>
        </w:rPr>
        <w:t>concession = signed(client_favourable_quote − reference_quote)</w:t>
      </w:r>
    </w:p>
    <w:p>
      <w:pPr>
        <w:keepNext w:val="0"/>
        <w:spacing w:after="100" w:line="252" w:lineRule="auto"/>
      </w:pPr>
      <w:r>
        <w:rPr>
          <w:rFonts w:ascii="Arial" w:hAnsi="Arial"/>
          <w:i w:val="0"/>
        </w:rPr>
        <w:t>For swaps, raw rate differences should be converted or scaled by DV01 / volatility so one basis point on a long-dated swap is not treated as economically identical to one basis point on a short trade.</w:t>
      </w:r>
    </w:p>
    <w:p>
      <w:pPr>
        <w:pStyle w:val="Heading2"/>
        <w:keepNext/>
        <w:spacing w:before="160" w:after="100"/>
      </w:pPr>
      <w:r>
        <w:rPr>
          <w:rFonts w:ascii="Arial" w:hAnsi="Arial"/>
          <w:b/>
          <w:sz w:val="25"/>
        </w:rPr>
        <w:t>3.6 Logistic chance-to-fill model</w:t>
      </w:r>
    </w:p>
    <w:p>
      <w:pPr>
        <w:keepLines/>
        <w:spacing w:before="60" w:after="80"/>
        <w:ind w:left="312" w:right="170"/>
        <w:jc w:val="center"/>
      </w:pPr>
      <w:r>
        <w:rPr>
          <w:rFonts w:ascii="Cambria Math" w:hAnsi="Cambria Math" w:eastAsia="Cambria Math" w:cs="Cambria Math"/>
          <w:sz w:val="21"/>
        </w:rPr>
        <w:t>z = β₀ + β₁·concession + β₂·size + β₃·liquidity + ⋯</w:t>
      </w:r>
    </w:p>
    <w:p>
      <w:pPr>
        <w:keepLines/>
        <w:spacing w:before="60" w:after="80"/>
        <w:ind w:left="312" w:right="170"/>
        <w:jc w:val="center"/>
      </w:pPr>
      <w:r>
        <w:rPr>
          <w:rFonts w:ascii="Cambria Math" w:hAnsi="Cambria Math" w:eastAsia="Cambria Math" w:cs="Cambria Math"/>
          <w:sz w:val="21"/>
        </w:rPr>
        <w:t>P(win | X, quote) = 1 / (1 + e⁻ᶻ)</w:t>
      </w:r>
    </w:p>
    <w:p>
      <w:pPr>
        <w:keepNext w:val="0"/>
        <w:spacing w:after="100" w:line="252" w:lineRule="auto"/>
      </w:pPr>
      <w:r>
        <w:rPr>
          <w:rFonts w:ascii="Arial" w:hAnsi="Arial"/>
          <w:i w:val="0"/>
        </w:rPr>
        <w:t>The concession coefficient should usually have the economically sensible sign: more client-favourable pricing should increase win probability, all else equal. Interaction terms allow price sensitivity to differ by client, size or liquidity. A model can rank RFQs well and still be badly calibrated, so discrimination and calibration are separate checks.</w:t>
      </w:r>
    </w:p>
    <w:p>
      <w:pPr>
        <w:pStyle w:val="Heading2"/>
        <w:keepNext/>
        <w:spacing w:before="160" w:after="100"/>
      </w:pPr>
      <w:r>
        <w:rPr>
          <w:rFonts w:ascii="Arial" w:hAnsi="Arial"/>
          <w:b/>
          <w:sz w:val="25"/>
        </w:rPr>
        <w:t>3.7 Bayesian updating - a concrete hypothetical implementation</w:t>
      </w:r>
    </w:p>
    <w:p>
      <w:pPr>
        <w:keepNext w:val="0"/>
        <w:spacing w:after="100" w:line="252" w:lineRule="auto"/>
      </w:pPr>
      <w:r>
        <w:rPr>
          <w:rFonts w:ascii="Arial" w:hAnsi="Arial"/>
          <w:i w:val="0"/>
        </w:rPr>
        <w:t>One plausible and easy-to-defend design is to maintain a shrunk client-segment propensity that becomes an input to the logistic model. For a segment with prior Beta(a,b), observed wins w and losses l produce Beta(a+w,b+l). The posterior mean shrinks sparse segments toward the prior and adapts as new RFQs mature.</w:t>
      </w:r>
    </w:p>
    <w:p>
      <w:pPr>
        <w:keepLines/>
        <w:spacing w:before="60" w:after="80"/>
        <w:ind w:left="312" w:right="170"/>
        <w:jc w:val="center"/>
      </w:pPr>
      <w:r>
        <w:rPr>
          <w:rFonts w:ascii="Cambria Math" w:hAnsi="Cambria Math" w:eastAsia="Cambria Math" w:cs="Cambria Math"/>
          <w:sz w:val="21"/>
        </w:rPr>
        <w:t>prior: Beta(8, 12)  →  mean = 0.40</w:t>
      </w:r>
    </w:p>
    <w:p>
      <w:pPr>
        <w:keepLines/>
        <w:spacing w:before="60" w:after="80"/>
        <w:ind w:left="312" w:right="170"/>
        <w:jc w:val="center"/>
      </w:pPr>
      <w:r>
        <w:rPr>
          <w:rFonts w:ascii="Cambria Math" w:hAnsi="Cambria Math" w:eastAsia="Cambria Math" w:cs="Cambria Math"/>
          <w:sz w:val="21"/>
        </w:rPr>
        <w:t>observe 6 wins, 4 losses  →  posterior Beta(14, 16)  →  mean = 0.467</w:t>
      </w:r>
    </w:p>
    <w:p>
      <w:pPr>
        <w:keepNext w:val="0"/>
        <w:spacing w:after="100" w:line="252" w:lineRule="auto"/>
      </w:pPr>
      <w:r>
        <w:rPr>
          <w:rFonts w:ascii="Arial" w:hAnsi="Arial"/>
          <w:i w:val="0"/>
        </w:rPr>
        <w:t>That posterior propensity can be supplied to the contextual logistic model or used as a bounded calibration adjustment. It is not the same as Bayesian logistic regression. If the historical implementation used a different Bayesian mechanism, state the actual prior, likelihood, updated quantity and frequency rather than borrowing this example.</w:t>
      </w:r>
    </w:p>
    <w:p>
      <w:pPr>
        <w:pStyle w:val="Heading2"/>
        <w:keepNext/>
        <w:spacing w:before="160" w:after="100"/>
      </w:pPr>
      <w:r>
        <w:rPr>
          <w:rFonts w:ascii="Arial" w:hAnsi="Arial"/>
          <w:b/>
          <w:sz w:val="25"/>
        </w:rPr>
        <w:t>3.8 Illustrative dataset and split</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18"/>
        <w:gridCol w:w="5018"/>
      </w:tblGrid>
      <w:tr>
        <w:trPr>
          <w:tblHeader w:val="true"/>
        </w:trPr>
        <w:tc>
          <w:tcPr>
            <w:tcW w:type="dxa" w:w="2891"/>
            <w:shd w:fill="D9E1F2"/>
            <w:tcMar>
              <w:top w:w="80" w:type="dxa"/>
              <w:start w:w="80" w:type="dxa"/>
              <w:bottom w:w="80" w:type="dxa"/>
              <w:end w:w="80" w:type="dxa"/>
            </w:tcMar>
            <w:vAlign w:val="center"/>
          </w:tcPr>
          <w:p>
            <w:pPr>
              <w:jc w:val="left"/>
            </w:pPr>
            <w:r>
              <w:rPr>
                <w:rFonts w:ascii="Arial" w:hAnsi="Arial"/>
                <w:b/>
                <w:sz w:val="16"/>
              </w:rPr>
              <w:t>Item</w:t>
            </w:r>
          </w:p>
        </w:tc>
        <w:tc>
          <w:tcPr>
            <w:tcW w:type="dxa" w:w="6860"/>
            <w:shd w:fill="D9E1F2"/>
            <w:tcMar>
              <w:top w:w="80" w:type="dxa"/>
              <w:start w:w="80" w:type="dxa"/>
              <w:bottom w:w="80" w:type="dxa"/>
              <w:end w:w="80" w:type="dxa"/>
            </w:tcMar>
            <w:vAlign w:val="center"/>
          </w:tcPr>
          <w:p>
            <w:pPr>
              <w:jc w:val="left"/>
            </w:pPr>
            <w:r>
              <w:rPr>
                <w:rFonts w:ascii="Arial" w:hAnsi="Arial"/>
                <w:b/>
                <w:sz w:val="16"/>
              </w:rPr>
              <w:t>Illustrative value</w:t>
            </w:r>
          </w:p>
        </w:tc>
      </w:tr>
      <w:tr>
        <w:tc>
          <w:tcPr>
            <w:tcW w:type="dxa" w:w="2891"/>
            <w:tcMar>
              <w:top w:w="75" w:type="dxa"/>
              <w:start w:w="80" w:type="dxa"/>
              <w:bottom w:w="75" w:type="dxa"/>
              <w:end w:w="80" w:type="dxa"/>
            </w:tcMar>
            <w:vAlign w:val="top"/>
          </w:tcPr>
          <w:p>
            <w:pPr>
              <w:spacing w:after="0"/>
            </w:pPr>
            <w:r>
              <w:rPr>
                <w:rFonts w:ascii="Arial" w:hAnsi="Arial"/>
                <w:b/>
                <w:sz w:val="16"/>
              </w:rPr>
              <w:t>RFQ history</w:t>
            </w:r>
          </w:p>
        </w:tc>
        <w:tc>
          <w:tcPr>
            <w:tcW w:type="dxa" w:w="6860"/>
            <w:tcMar>
              <w:top w:w="75" w:type="dxa"/>
              <w:start w:w="80" w:type="dxa"/>
              <w:bottom w:w="75" w:type="dxa"/>
              <w:end w:w="80" w:type="dxa"/>
            </w:tcMar>
            <w:vAlign w:val="top"/>
          </w:tcPr>
          <w:p>
            <w:pPr>
              <w:spacing w:after="0"/>
            </w:pPr>
            <w:r>
              <w:rPr>
                <w:rFonts w:ascii="Arial" w:hAnsi="Arial"/>
                <w:b w:val="0"/>
                <w:sz w:val="16"/>
              </w:rPr>
              <w:t>~300,000 eligible quote observations over 20 months.</w:t>
            </w:r>
          </w:p>
        </w:tc>
      </w:tr>
      <w:tr>
        <w:tc>
          <w:tcPr>
            <w:tcW w:type="dxa" w:w="2891"/>
            <w:tcMar>
              <w:top w:w="75" w:type="dxa"/>
              <w:start w:w="80" w:type="dxa"/>
              <w:bottom w:w="75" w:type="dxa"/>
              <w:end w:w="80" w:type="dxa"/>
            </w:tcMar>
            <w:vAlign w:val="top"/>
          </w:tcPr>
          <w:p>
            <w:pPr>
              <w:spacing w:after="0"/>
            </w:pPr>
            <w:r>
              <w:rPr>
                <w:rFonts w:ascii="Arial" w:hAnsi="Arial"/>
                <w:b/>
                <w:sz w:val="16"/>
              </w:rPr>
              <w:t>Overall win rate</w:t>
            </w:r>
          </w:p>
        </w:tc>
        <w:tc>
          <w:tcPr>
            <w:tcW w:type="dxa" w:w="6860"/>
            <w:tcMar>
              <w:top w:w="75" w:type="dxa"/>
              <w:start w:w="80" w:type="dxa"/>
              <w:bottom w:w="75" w:type="dxa"/>
              <w:end w:w="80" w:type="dxa"/>
            </w:tcMar>
            <w:vAlign w:val="top"/>
          </w:tcPr>
          <w:p>
            <w:pPr>
              <w:spacing w:after="0"/>
            </w:pPr>
            <w:r>
              <w:rPr>
                <w:rFonts w:ascii="Arial" w:hAnsi="Arial"/>
                <w:b w:val="0"/>
                <w:sz w:val="16"/>
              </w:rPr>
              <w:t>~34% under the historical quoting policy.</w:t>
            </w:r>
          </w:p>
        </w:tc>
      </w:tr>
      <w:tr>
        <w:tc>
          <w:tcPr>
            <w:tcW w:type="dxa" w:w="2891"/>
            <w:tcMar>
              <w:top w:w="75" w:type="dxa"/>
              <w:start w:w="80" w:type="dxa"/>
              <w:bottom w:w="75" w:type="dxa"/>
              <w:end w:w="80" w:type="dxa"/>
            </w:tcMar>
            <w:vAlign w:val="top"/>
          </w:tcPr>
          <w:p>
            <w:pPr>
              <w:spacing w:after="0"/>
            </w:pPr>
            <w:r>
              <w:rPr>
                <w:rFonts w:ascii="Arial" w:hAnsi="Arial"/>
                <w:b/>
                <w:sz w:val="16"/>
              </w:rPr>
              <w:t>Training</w:t>
            </w:r>
          </w:p>
        </w:tc>
        <w:tc>
          <w:tcPr>
            <w:tcW w:type="dxa" w:w="6860"/>
            <w:tcMar>
              <w:top w:w="75" w:type="dxa"/>
              <w:start w:w="80" w:type="dxa"/>
              <w:bottom w:w="75" w:type="dxa"/>
              <w:end w:w="80" w:type="dxa"/>
            </w:tcMar>
            <w:vAlign w:val="top"/>
          </w:tcPr>
          <w:p>
            <w:pPr>
              <w:spacing w:after="0"/>
            </w:pPr>
            <w:r>
              <w:rPr>
                <w:rFonts w:ascii="Arial" w:hAnsi="Arial"/>
                <w:b w:val="0"/>
                <w:sz w:val="16"/>
              </w:rPr>
              <w:t>Months 1-14.</w:t>
            </w:r>
          </w:p>
        </w:tc>
      </w:tr>
      <w:tr>
        <w:tc>
          <w:tcPr>
            <w:tcW w:type="dxa" w:w="2891"/>
            <w:tcMar>
              <w:top w:w="75" w:type="dxa"/>
              <w:start w:w="80" w:type="dxa"/>
              <w:bottom w:w="75" w:type="dxa"/>
              <w:end w:w="80" w:type="dxa"/>
            </w:tcMar>
            <w:vAlign w:val="top"/>
          </w:tcPr>
          <w:p>
            <w:pPr>
              <w:spacing w:after="0"/>
            </w:pPr>
            <w:r>
              <w:rPr>
                <w:rFonts w:ascii="Arial" w:hAnsi="Arial"/>
                <w:b/>
                <w:sz w:val="16"/>
              </w:rPr>
              <w:t>Calibration / validation</w:t>
            </w:r>
          </w:p>
        </w:tc>
        <w:tc>
          <w:tcPr>
            <w:tcW w:type="dxa" w:w="6860"/>
            <w:tcMar>
              <w:top w:w="75" w:type="dxa"/>
              <w:start w:w="80" w:type="dxa"/>
              <w:bottom w:w="75" w:type="dxa"/>
              <w:end w:w="80" w:type="dxa"/>
            </w:tcMar>
            <w:vAlign w:val="top"/>
          </w:tcPr>
          <w:p>
            <w:pPr>
              <w:spacing w:after="0"/>
            </w:pPr>
            <w:r>
              <w:rPr>
                <w:rFonts w:ascii="Arial" w:hAnsi="Arial"/>
                <w:b w:val="0"/>
                <w:sz w:val="16"/>
              </w:rPr>
              <w:t>Months 15-17.</w:t>
            </w:r>
          </w:p>
        </w:tc>
      </w:tr>
      <w:tr>
        <w:tc>
          <w:tcPr>
            <w:tcW w:type="dxa" w:w="2891"/>
            <w:tcMar>
              <w:top w:w="75" w:type="dxa"/>
              <w:start w:w="80" w:type="dxa"/>
              <w:bottom w:w="75" w:type="dxa"/>
              <w:end w:w="80" w:type="dxa"/>
            </w:tcMar>
            <w:vAlign w:val="top"/>
          </w:tcPr>
          <w:p>
            <w:pPr>
              <w:spacing w:after="0"/>
            </w:pPr>
            <w:r>
              <w:rPr>
                <w:rFonts w:ascii="Arial" w:hAnsi="Arial"/>
                <w:b/>
                <w:sz w:val="16"/>
              </w:rPr>
              <w:t>Final test</w:t>
            </w:r>
          </w:p>
        </w:tc>
        <w:tc>
          <w:tcPr>
            <w:tcW w:type="dxa" w:w="6860"/>
            <w:tcMar>
              <w:top w:w="75" w:type="dxa"/>
              <w:start w:w="80" w:type="dxa"/>
              <w:bottom w:w="75" w:type="dxa"/>
              <w:end w:w="80" w:type="dxa"/>
            </w:tcMar>
            <w:vAlign w:val="top"/>
          </w:tcPr>
          <w:p>
            <w:pPr>
              <w:spacing w:after="0"/>
            </w:pPr>
            <w:r>
              <w:rPr>
                <w:rFonts w:ascii="Arial" w:hAnsi="Arial"/>
                <w:b w:val="0"/>
                <w:sz w:val="16"/>
              </w:rPr>
              <w:t>Months 18-20.</w:t>
            </w:r>
          </w:p>
        </w:tc>
      </w:tr>
      <w:tr>
        <w:tc>
          <w:tcPr>
            <w:tcW w:type="dxa" w:w="2891"/>
            <w:tcMar>
              <w:top w:w="75" w:type="dxa"/>
              <w:start w:w="80" w:type="dxa"/>
              <w:bottom w:w="75" w:type="dxa"/>
              <w:end w:w="80" w:type="dxa"/>
            </w:tcMar>
            <w:vAlign w:val="top"/>
          </w:tcPr>
          <w:p>
            <w:pPr>
              <w:spacing w:after="0"/>
            </w:pPr>
            <w:r>
              <w:rPr>
                <w:rFonts w:ascii="Arial" w:hAnsi="Arial"/>
                <w:b/>
                <w:sz w:val="16"/>
              </w:rPr>
              <w:t>Grouping</w:t>
            </w:r>
          </w:p>
        </w:tc>
        <w:tc>
          <w:tcPr>
            <w:tcW w:type="dxa" w:w="6860"/>
            <w:tcMar>
              <w:top w:w="75" w:type="dxa"/>
              <w:start w:w="80" w:type="dxa"/>
              <w:bottom w:w="75" w:type="dxa"/>
              <w:end w:w="80" w:type="dxa"/>
            </w:tcMar>
            <w:vAlign w:val="top"/>
          </w:tcPr>
          <w:p>
            <w:pPr>
              <w:spacing w:after="0"/>
            </w:pPr>
            <w:r>
              <w:rPr>
                <w:rFonts w:ascii="Arial" w:hAnsi="Arial"/>
                <w:b w:val="0"/>
                <w:sz w:val="16"/>
              </w:rPr>
              <w:t>All revisions / related rows for one RFQ stay in the same time block.</w:t>
            </w:r>
          </w:p>
        </w:tc>
      </w:tr>
      <w:tr>
        <w:tc>
          <w:tcPr>
            <w:tcW w:type="dxa" w:w="2891"/>
            <w:tcMar>
              <w:top w:w="75" w:type="dxa"/>
              <w:start w:w="80" w:type="dxa"/>
              <w:bottom w:w="75" w:type="dxa"/>
              <w:end w:w="80" w:type="dxa"/>
            </w:tcMar>
            <w:vAlign w:val="top"/>
          </w:tcPr>
          <w:p>
            <w:pPr>
              <w:spacing w:after="0"/>
            </w:pPr>
            <w:r>
              <w:rPr>
                <w:rFonts w:ascii="Arial" w:hAnsi="Arial"/>
                <w:b/>
                <w:sz w:val="16"/>
              </w:rPr>
              <w:t>Outcome maturity</w:t>
            </w:r>
          </w:p>
        </w:tc>
        <w:tc>
          <w:tcPr>
            <w:tcW w:type="dxa" w:w="6860"/>
            <w:tcMar>
              <w:top w:w="75" w:type="dxa"/>
              <w:start w:w="80" w:type="dxa"/>
              <w:bottom w:w="75" w:type="dxa"/>
              <w:end w:w="80" w:type="dxa"/>
            </w:tcMar>
            <w:vAlign w:val="top"/>
          </w:tcPr>
          <w:p>
            <w:pPr>
              <w:spacing w:after="0"/>
            </w:pPr>
            <w:r>
              <w:rPr>
                <w:rFonts w:ascii="Arial" w:hAnsi="Arial"/>
                <w:b w:val="0"/>
                <w:sz w:val="16"/>
              </w:rPr>
              <w:t>Only outcomes fully resolved by the evaluation cutoff are scored.</w:t>
            </w:r>
          </w:p>
        </w:tc>
      </w:tr>
    </w:tbl>
    <w:p>
      <w:pPr>
        <w:spacing w:after="0"/>
      </w:pPr>
    </w:p>
    <w:p>
      <w:pPr>
        <w:pStyle w:val="Heading2"/>
        <w:keepNext/>
        <w:spacing w:before="160" w:after="100"/>
      </w:pPr>
      <w:r>
        <w:rPr>
          <w:rFonts w:ascii="Arial" w:hAnsi="Arial"/>
          <w:b/>
          <w:sz w:val="25"/>
        </w:rPr>
        <w:t>3.9 Illustrative predictive results</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ILLUSTRATIVE RESULT</w:t>
            </w:r>
          </w:p>
          <w:p>
            <w:pPr>
              <w:spacing w:after="0"/>
            </w:pPr>
            <w:r>
              <w:rPr>
                <w:rFonts w:ascii="Arial" w:hAnsi="Arial"/>
                <w:sz w:val="18"/>
              </w:rPr>
              <w:t>Probability-model metrics are deliberately moderate. Stronger-looking numbers can occur when the quote itself dominates response, but they should be inspected for policy endogeneity and target-definition leakage.</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07"/>
        <w:gridCol w:w="2007"/>
        <w:gridCol w:w="2007"/>
        <w:gridCol w:w="2007"/>
        <w:gridCol w:w="2007"/>
      </w:tblGrid>
      <w:tr>
        <w:trPr>
          <w:tblHeader w:val="true"/>
        </w:trPr>
        <w:tc>
          <w:tcPr>
            <w:tcW w:type="dxa" w:w="2381"/>
            <w:shd w:fill="D9E1F2"/>
            <w:tcMar>
              <w:top w:w="80" w:type="dxa"/>
              <w:start w:w="80" w:type="dxa"/>
              <w:bottom w:w="80" w:type="dxa"/>
              <w:end w:w="80" w:type="dxa"/>
            </w:tcMar>
            <w:vAlign w:val="center"/>
          </w:tcPr>
          <w:p>
            <w:pPr>
              <w:jc w:val="left"/>
            </w:pPr>
            <w:r>
              <w:rPr>
                <w:rFonts w:ascii="Arial" w:hAnsi="Arial"/>
                <w:b/>
                <w:sz w:val="14"/>
              </w:rPr>
              <w:t>Model</w:t>
            </w:r>
          </w:p>
        </w:tc>
        <w:tc>
          <w:tcPr>
            <w:tcW w:type="dxa" w:w="1134"/>
            <w:shd w:fill="D9E1F2"/>
            <w:tcMar>
              <w:top w:w="80" w:type="dxa"/>
              <w:start w:w="80" w:type="dxa"/>
              <w:bottom w:w="80" w:type="dxa"/>
              <w:end w:w="80" w:type="dxa"/>
            </w:tcMar>
            <w:vAlign w:val="center"/>
          </w:tcPr>
          <w:p>
            <w:pPr>
              <w:jc w:val="left"/>
            </w:pPr>
            <w:r>
              <w:rPr>
                <w:rFonts w:ascii="Arial" w:hAnsi="Arial"/>
                <w:b/>
                <w:sz w:val="14"/>
              </w:rPr>
              <w:t>ROC AUC</w:t>
            </w:r>
          </w:p>
        </w:tc>
        <w:tc>
          <w:tcPr>
            <w:tcW w:type="dxa" w:w="1417"/>
            <w:shd w:fill="D9E1F2"/>
            <w:tcMar>
              <w:top w:w="80" w:type="dxa"/>
              <w:start w:w="80" w:type="dxa"/>
              <w:bottom w:w="80" w:type="dxa"/>
              <w:end w:w="80" w:type="dxa"/>
            </w:tcMar>
            <w:vAlign w:val="center"/>
          </w:tcPr>
          <w:p>
            <w:pPr>
              <w:jc w:val="left"/>
            </w:pPr>
            <w:r>
              <w:rPr>
                <w:rFonts w:ascii="Arial" w:hAnsi="Arial"/>
                <w:b/>
                <w:sz w:val="14"/>
              </w:rPr>
              <w:t>Brier score</w:t>
            </w:r>
          </w:p>
        </w:tc>
        <w:tc>
          <w:tcPr>
            <w:tcW w:type="dxa" w:w="1871"/>
            <w:shd w:fill="D9E1F2"/>
            <w:tcMar>
              <w:top w:w="80" w:type="dxa"/>
              <w:start w:w="80" w:type="dxa"/>
              <w:bottom w:w="80" w:type="dxa"/>
              <w:end w:w="80" w:type="dxa"/>
            </w:tcMar>
            <w:vAlign w:val="center"/>
          </w:tcPr>
          <w:p>
            <w:pPr>
              <w:jc w:val="left"/>
            </w:pPr>
            <w:r>
              <w:rPr>
                <w:rFonts w:ascii="Arial" w:hAnsi="Arial"/>
                <w:b/>
                <w:sz w:val="14"/>
              </w:rPr>
              <w:t>Calibration error (ECE)</w:t>
            </w:r>
          </w:p>
        </w:tc>
        <w:tc>
          <w:tcPr>
            <w:tcW w:type="dxa" w:w="2948"/>
            <w:shd w:fill="D9E1F2"/>
            <w:tcMar>
              <w:top w:w="80" w:type="dxa"/>
              <w:start w:w="80" w:type="dxa"/>
              <w:bottom w:w="80" w:type="dxa"/>
              <w:end w:w="80" w:type="dxa"/>
            </w:tcMar>
            <w:vAlign w:val="center"/>
          </w:tcPr>
          <w:p>
            <w:pPr>
              <w:jc w:val="left"/>
            </w:pPr>
            <w:r>
              <w:rPr>
                <w:rFonts w:ascii="Arial" w:hAnsi="Arial"/>
                <w:b/>
                <w:sz w:val="14"/>
              </w:rPr>
              <w:t>Comment</w:t>
            </w:r>
          </w:p>
        </w:tc>
      </w:tr>
      <w:tr>
        <w:tc>
          <w:tcPr>
            <w:tcW w:type="dxa" w:w="2381"/>
            <w:tcMar>
              <w:top w:w="75" w:type="dxa"/>
              <w:start w:w="80" w:type="dxa"/>
              <w:bottom w:w="75" w:type="dxa"/>
              <w:end w:w="80" w:type="dxa"/>
            </w:tcMar>
            <w:vAlign w:val="top"/>
          </w:tcPr>
          <w:p>
            <w:pPr>
              <w:spacing w:after="0"/>
            </w:pPr>
            <w:r>
              <w:rPr>
                <w:rFonts w:ascii="Arial" w:hAnsi="Arial"/>
                <w:b/>
                <w:sz w:val="14"/>
              </w:rPr>
              <w:t>Client/segment frequency baseline</w:t>
            </w:r>
          </w:p>
        </w:tc>
        <w:tc>
          <w:tcPr>
            <w:tcW w:type="dxa" w:w="1134"/>
            <w:tcMar>
              <w:top w:w="75" w:type="dxa"/>
              <w:start w:w="80" w:type="dxa"/>
              <w:bottom w:w="75" w:type="dxa"/>
              <w:end w:w="80" w:type="dxa"/>
            </w:tcMar>
            <w:vAlign w:val="top"/>
          </w:tcPr>
          <w:p>
            <w:pPr>
              <w:spacing w:after="0"/>
            </w:pPr>
            <w:r>
              <w:rPr>
                <w:rFonts w:ascii="Arial" w:hAnsi="Arial"/>
                <w:b w:val="0"/>
                <w:sz w:val="14"/>
              </w:rPr>
              <w:t>0.64</w:t>
            </w:r>
          </w:p>
        </w:tc>
        <w:tc>
          <w:tcPr>
            <w:tcW w:type="dxa" w:w="1417"/>
            <w:tcMar>
              <w:top w:w="75" w:type="dxa"/>
              <w:start w:w="80" w:type="dxa"/>
              <w:bottom w:w="75" w:type="dxa"/>
              <w:end w:w="80" w:type="dxa"/>
            </w:tcMar>
            <w:vAlign w:val="top"/>
          </w:tcPr>
          <w:p>
            <w:pPr>
              <w:spacing w:after="0"/>
            </w:pPr>
            <w:r>
              <w:rPr>
                <w:rFonts w:ascii="Arial" w:hAnsi="Arial"/>
                <w:b w:val="0"/>
                <w:sz w:val="14"/>
              </w:rPr>
              <w:t>0.218</w:t>
            </w:r>
          </w:p>
        </w:tc>
        <w:tc>
          <w:tcPr>
            <w:tcW w:type="dxa" w:w="1871"/>
            <w:tcMar>
              <w:top w:w="75" w:type="dxa"/>
              <w:start w:w="80" w:type="dxa"/>
              <w:bottom w:w="75" w:type="dxa"/>
              <w:end w:w="80" w:type="dxa"/>
            </w:tcMar>
            <w:vAlign w:val="top"/>
          </w:tcPr>
          <w:p>
            <w:pPr>
              <w:spacing w:after="0"/>
            </w:pPr>
            <w:r>
              <w:rPr>
                <w:rFonts w:ascii="Arial" w:hAnsi="Arial"/>
                <w:b w:val="0"/>
                <w:sz w:val="14"/>
              </w:rPr>
              <w:t>5.8 pp</w:t>
            </w:r>
          </w:p>
        </w:tc>
        <w:tc>
          <w:tcPr>
            <w:tcW w:type="dxa" w:w="2948"/>
            <w:tcMar>
              <w:top w:w="75" w:type="dxa"/>
              <w:start w:w="80" w:type="dxa"/>
              <w:bottom w:w="75" w:type="dxa"/>
              <w:end w:w="80" w:type="dxa"/>
            </w:tcMar>
            <w:vAlign w:val="top"/>
          </w:tcPr>
          <w:p>
            <w:pPr>
              <w:spacing w:after="0"/>
            </w:pPr>
            <w:r>
              <w:rPr>
                <w:rFonts w:ascii="Arial" w:hAnsi="Arial"/>
                <w:b w:val="0"/>
                <w:sz w:val="14"/>
              </w:rPr>
              <w:t>Captures persistent client propensity only.</w:t>
            </w:r>
          </w:p>
        </w:tc>
      </w:tr>
      <w:tr>
        <w:tc>
          <w:tcPr>
            <w:tcW w:type="dxa" w:w="2381"/>
            <w:tcMar>
              <w:top w:w="75" w:type="dxa"/>
              <w:start w:w="80" w:type="dxa"/>
              <w:bottom w:w="75" w:type="dxa"/>
              <w:end w:w="80" w:type="dxa"/>
            </w:tcMar>
            <w:vAlign w:val="top"/>
          </w:tcPr>
          <w:p>
            <w:pPr>
              <w:spacing w:after="0"/>
            </w:pPr>
            <w:r>
              <w:rPr>
                <w:rFonts w:ascii="Arial" w:hAnsi="Arial"/>
                <w:b/>
                <w:sz w:val="14"/>
              </w:rPr>
              <w:t>Logistic: client + market, no quote</w:t>
            </w:r>
          </w:p>
        </w:tc>
        <w:tc>
          <w:tcPr>
            <w:tcW w:type="dxa" w:w="1134"/>
            <w:tcMar>
              <w:top w:w="75" w:type="dxa"/>
              <w:start w:w="80" w:type="dxa"/>
              <w:bottom w:w="75" w:type="dxa"/>
              <w:end w:w="80" w:type="dxa"/>
            </w:tcMar>
            <w:vAlign w:val="top"/>
          </w:tcPr>
          <w:p>
            <w:pPr>
              <w:spacing w:after="0"/>
            </w:pPr>
            <w:r>
              <w:rPr>
                <w:rFonts w:ascii="Arial" w:hAnsi="Arial"/>
                <w:b w:val="0"/>
                <w:sz w:val="14"/>
              </w:rPr>
              <w:t>0.70</w:t>
            </w:r>
          </w:p>
        </w:tc>
        <w:tc>
          <w:tcPr>
            <w:tcW w:type="dxa" w:w="1417"/>
            <w:tcMar>
              <w:top w:w="75" w:type="dxa"/>
              <w:start w:w="80" w:type="dxa"/>
              <w:bottom w:w="75" w:type="dxa"/>
              <w:end w:w="80" w:type="dxa"/>
            </w:tcMar>
            <w:vAlign w:val="top"/>
          </w:tcPr>
          <w:p>
            <w:pPr>
              <w:spacing w:after="0"/>
            </w:pPr>
            <w:r>
              <w:rPr>
                <w:rFonts w:ascii="Arial" w:hAnsi="Arial"/>
                <w:b w:val="0"/>
                <w:sz w:val="14"/>
              </w:rPr>
              <w:t>0.202</w:t>
            </w:r>
          </w:p>
        </w:tc>
        <w:tc>
          <w:tcPr>
            <w:tcW w:type="dxa" w:w="1871"/>
            <w:tcMar>
              <w:top w:w="75" w:type="dxa"/>
              <w:start w:w="80" w:type="dxa"/>
              <w:bottom w:w="75" w:type="dxa"/>
              <w:end w:w="80" w:type="dxa"/>
            </w:tcMar>
            <w:vAlign w:val="top"/>
          </w:tcPr>
          <w:p>
            <w:pPr>
              <w:spacing w:after="0"/>
            </w:pPr>
            <w:r>
              <w:rPr>
                <w:rFonts w:ascii="Arial" w:hAnsi="Arial"/>
                <w:b w:val="0"/>
                <w:sz w:val="14"/>
              </w:rPr>
              <w:t>4.0 pp</w:t>
            </w:r>
          </w:p>
        </w:tc>
        <w:tc>
          <w:tcPr>
            <w:tcW w:type="dxa" w:w="2948"/>
            <w:tcMar>
              <w:top w:w="75" w:type="dxa"/>
              <w:start w:w="80" w:type="dxa"/>
              <w:bottom w:w="75" w:type="dxa"/>
              <w:end w:w="80" w:type="dxa"/>
            </w:tcMar>
            <w:vAlign w:val="top"/>
          </w:tcPr>
          <w:p>
            <w:pPr>
              <w:spacing w:after="0"/>
            </w:pPr>
            <w:r>
              <w:rPr>
                <w:rFonts w:ascii="Arial" w:hAnsi="Arial"/>
                <w:b w:val="0"/>
                <w:sz w:val="14"/>
              </w:rPr>
              <w:t>Context improves ranking.</w:t>
            </w:r>
          </w:p>
        </w:tc>
      </w:tr>
      <w:tr>
        <w:tc>
          <w:tcPr>
            <w:tcW w:type="dxa" w:w="2381"/>
            <w:tcMar>
              <w:top w:w="75" w:type="dxa"/>
              <w:start w:w="80" w:type="dxa"/>
              <w:bottom w:w="75" w:type="dxa"/>
              <w:end w:w="80" w:type="dxa"/>
            </w:tcMar>
            <w:vAlign w:val="top"/>
          </w:tcPr>
          <w:p>
            <w:pPr>
              <w:spacing w:after="0"/>
            </w:pPr>
            <w:r>
              <w:rPr>
                <w:rFonts w:ascii="Arial" w:hAnsi="Arial"/>
                <w:b/>
                <w:sz w:val="14"/>
              </w:rPr>
              <w:t>Logistic + quote concession</w:t>
            </w:r>
          </w:p>
        </w:tc>
        <w:tc>
          <w:tcPr>
            <w:tcW w:type="dxa" w:w="1134"/>
            <w:tcMar>
              <w:top w:w="75" w:type="dxa"/>
              <w:start w:w="80" w:type="dxa"/>
              <w:bottom w:w="75" w:type="dxa"/>
              <w:end w:w="80" w:type="dxa"/>
            </w:tcMar>
            <w:vAlign w:val="top"/>
          </w:tcPr>
          <w:p>
            <w:pPr>
              <w:spacing w:after="0"/>
            </w:pPr>
            <w:r>
              <w:rPr>
                <w:rFonts w:ascii="Arial" w:hAnsi="Arial"/>
                <w:b w:val="0"/>
                <w:sz w:val="14"/>
              </w:rPr>
              <w:t>0.76</w:t>
            </w:r>
          </w:p>
        </w:tc>
        <w:tc>
          <w:tcPr>
            <w:tcW w:type="dxa" w:w="1417"/>
            <w:tcMar>
              <w:top w:w="75" w:type="dxa"/>
              <w:start w:w="80" w:type="dxa"/>
              <w:bottom w:w="75" w:type="dxa"/>
              <w:end w:w="80" w:type="dxa"/>
            </w:tcMar>
            <w:vAlign w:val="top"/>
          </w:tcPr>
          <w:p>
            <w:pPr>
              <w:spacing w:after="0"/>
            </w:pPr>
            <w:r>
              <w:rPr>
                <w:rFonts w:ascii="Arial" w:hAnsi="Arial"/>
                <w:b w:val="0"/>
                <w:sz w:val="14"/>
              </w:rPr>
              <w:t>0.184</w:t>
            </w:r>
          </w:p>
        </w:tc>
        <w:tc>
          <w:tcPr>
            <w:tcW w:type="dxa" w:w="1871"/>
            <w:tcMar>
              <w:top w:w="75" w:type="dxa"/>
              <w:start w:w="80" w:type="dxa"/>
              <w:bottom w:w="75" w:type="dxa"/>
              <w:end w:w="80" w:type="dxa"/>
            </w:tcMar>
            <w:vAlign w:val="top"/>
          </w:tcPr>
          <w:p>
            <w:pPr>
              <w:spacing w:after="0"/>
            </w:pPr>
            <w:r>
              <w:rPr>
                <w:rFonts w:ascii="Arial" w:hAnsi="Arial"/>
                <w:b w:val="0"/>
                <w:sz w:val="14"/>
              </w:rPr>
              <w:t>2.8 pp</w:t>
            </w:r>
          </w:p>
        </w:tc>
        <w:tc>
          <w:tcPr>
            <w:tcW w:type="dxa" w:w="2948"/>
            <w:tcMar>
              <w:top w:w="75" w:type="dxa"/>
              <w:start w:w="80" w:type="dxa"/>
              <w:bottom w:w="75" w:type="dxa"/>
              <w:end w:w="80" w:type="dxa"/>
            </w:tcMar>
            <w:vAlign w:val="top"/>
          </w:tcPr>
          <w:p>
            <w:pPr>
              <w:spacing w:after="0"/>
            </w:pPr>
            <w:r>
              <w:rPr>
                <w:rFonts w:ascii="Arial" w:hAnsi="Arial"/>
                <w:b w:val="0"/>
                <w:sz w:val="14"/>
              </w:rPr>
              <w:t>Price sensitivity is essential.</w:t>
            </w:r>
          </w:p>
        </w:tc>
      </w:tr>
      <w:tr>
        <w:tc>
          <w:tcPr>
            <w:tcW w:type="dxa" w:w="2381"/>
            <w:tcMar>
              <w:top w:w="75" w:type="dxa"/>
              <w:start w:w="80" w:type="dxa"/>
              <w:bottom w:w="75" w:type="dxa"/>
              <w:end w:w="80" w:type="dxa"/>
            </w:tcMar>
            <w:vAlign w:val="top"/>
          </w:tcPr>
          <w:p>
            <w:pPr>
              <w:spacing w:after="0"/>
            </w:pPr>
            <w:r>
              <w:rPr>
                <w:rFonts w:ascii="Arial" w:hAnsi="Arial"/>
                <w:b/>
                <w:sz w:val="14"/>
              </w:rPr>
              <w:t>+ Bayesian propensity feature/update</w:t>
            </w:r>
          </w:p>
        </w:tc>
        <w:tc>
          <w:tcPr>
            <w:tcW w:type="dxa" w:w="1134"/>
            <w:tcMar>
              <w:top w:w="75" w:type="dxa"/>
              <w:start w:w="80" w:type="dxa"/>
              <w:bottom w:w="75" w:type="dxa"/>
              <w:end w:w="80" w:type="dxa"/>
            </w:tcMar>
            <w:vAlign w:val="top"/>
          </w:tcPr>
          <w:p>
            <w:pPr>
              <w:spacing w:after="0"/>
            </w:pPr>
            <w:r>
              <w:rPr>
                <w:rFonts w:ascii="Arial" w:hAnsi="Arial"/>
                <w:b w:val="0"/>
                <w:sz w:val="14"/>
              </w:rPr>
              <w:t>0.77</w:t>
            </w:r>
          </w:p>
        </w:tc>
        <w:tc>
          <w:tcPr>
            <w:tcW w:type="dxa" w:w="1417"/>
            <w:tcMar>
              <w:top w:w="75" w:type="dxa"/>
              <w:start w:w="80" w:type="dxa"/>
              <w:bottom w:w="75" w:type="dxa"/>
              <w:end w:w="80" w:type="dxa"/>
            </w:tcMar>
            <w:vAlign w:val="top"/>
          </w:tcPr>
          <w:p>
            <w:pPr>
              <w:spacing w:after="0"/>
            </w:pPr>
            <w:r>
              <w:rPr>
                <w:rFonts w:ascii="Arial" w:hAnsi="Arial"/>
                <w:b w:val="0"/>
                <w:sz w:val="14"/>
              </w:rPr>
              <w:t>0.180</w:t>
            </w:r>
          </w:p>
        </w:tc>
        <w:tc>
          <w:tcPr>
            <w:tcW w:type="dxa" w:w="1871"/>
            <w:tcMar>
              <w:top w:w="75" w:type="dxa"/>
              <w:start w:w="80" w:type="dxa"/>
              <w:bottom w:w="75" w:type="dxa"/>
              <w:end w:w="80" w:type="dxa"/>
            </w:tcMar>
            <w:vAlign w:val="top"/>
          </w:tcPr>
          <w:p>
            <w:pPr>
              <w:spacing w:after="0"/>
            </w:pPr>
            <w:r>
              <w:rPr>
                <w:rFonts w:ascii="Arial" w:hAnsi="Arial"/>
                <w:b w:val="0"/>
                <w:sz w:val="14"/>
              </w:rPr>
              <w:t>2.2 pp</w:t>
            </w:r>
          </w:p>
        </w:tc>
        <w:tc>
          <w:tcPr>
            <w:tcW w:type="dxa" w:w="2948"/>
            <w:tcMar>
              <w:top w:w="75" w:type="dxa"/>
              <w:start w:w="80" w:type="dxa"/>
              <w:bottom w:w="75" w:type="dxa"/>
              <w:end w:w="80" w:type="dxa"/>
            </w:tcMar>
            <w:vAlign w:val="top"/>
          </w:tcPr>
          <w:p>
            <w:pPr>
              <w:spacing w:after="0"/>
            </w:pPr>
            <w:r>
              <w:rPr>
                <w:rFonts w:ascii="Arial" w:hAnsi="Arial"/>
                <w:b w:val="0"/>
                <w:sz w:val="14"/>
              </w:rPr>
              <w:t>Better sparse-client adaptation.</w:t>
            </w:r>
          </w:p>
        </w:tc>
      </w:tr>
      <w:tr>
        <w:tc>
          <w:tcPr>
            <w:tcW w:type="dxa" w:w="2381"/>
            <w:tcMar>
              <w:top w:w="75" w:type="dxa"/>
              <w:start w:w="80" w:type="dxa"/>
              <w:bottom w:w="75" w:type="dxa"/>
              <w:end w:w="80" w:type="dxa"/>
            </w:tcMar>
            <w:vAlign w:val="top"/>
          </w:tcPr>
          <w:p>
            <w:pPr>
              <w:spacing w:after="0"/>
            </w:pPr>
            <w:r>
              <w:rPr>
                <w:rFonts w:ascii="Arial" w:hAnsi="Arial"/>
                <w:b/>
                <w:sz w:val="14"/>
              </w:rPr>
              <w:t>Post-calibration model</w:t>
            </w:r>
          </w:p>
        </w:tc>
        <w:tc>
          <w:tcPr>
            <w:tcW w:type="dxa" w:w="1134"/>
            <w:tcMar>
              <w:top w:w="75" w:type="dxa"/>
              <w:start w:w="80" w:type="dxa"/>
              <w:bottom w:w="75" w:type="dxa"/>
              <w:end w:w="80" w:type="dxa"/>
            </w:tcMar>
            <w:vAlign w:val="top"/>
          </w:tcPr>
          <w:p>
            <w:pPr>
              <w:spacing w:after="0"/>
            </w:pPr>
            <w:r>
              <w:rPr>
                <w:rFonts w:ascii="Arial" w:hAnsi="Arial"/>
                <w:b w:val="0"/>
                <w:sz w:val="14"/>
              </w:rPr>
              <w:t>0.77</w:t>
            </w:r>
          </w:p>
        </w:tc>
        <w:tc>
          <w:tcPr>
            <w:tcW w:type="dxa" w:w="1417"/>
            <w:tcMar>
              <w:top w:w="75" w:type="dxa"/>
              <w:start w:w="80" w:type="dxa"/>
              <w:bottom w:w="75" w:type="dxa"/>
              <w:end w:w="80" w:type="dxa"/>
            </w:tcMar>
            <w:vAlign w:val="top"/>
          </w:tcPr>
          <w:p>
            <w:pPr>
              <w:spacing w:after="0"/>
            </w:pPr>
            <w:r>
              <w:rPr>
                <w:rFonts w:ascii="Arial" w:hAnsi="Arial"/>
                <w:b w:val="0"/>
                <w:sz w:val="14"/>
              </w:rPr>
              <w:t>0.178</w:t>
            </w:r>
          </w:p>
        </w:tc>
        <w:tc>
          <w:tcPr>
            <w:tcW w:type="dxa" w:w="1871"/>
            <w:tcMar>
              <w:top w:w="75" w:type="dxa"/>
              <w:start w:w="80" w:type="dxa"/>
              <w:bottom w:w="75" w:type="dxa"/>
              <w:end w:w="80" w:type="dxa"/>
            </w:tcMar>
            <w:vAlign w:val="top"/>
          </w:tcPr>
          <w:p>
            <w:pPr>
              <w:spacing w:after="0"/>
            </w:pPr>
            <w:r>
              <w:rPr>
                <w:rFonts w:ascii="Arial" w:hAnsi="Arial"/>
                <w:b w:val="0"/>
                <w:sz w:val="14"/>
              </w:rPr>
              <w:t>1.6 pp</w:t>
            </w:r>
          </w:p>
        </w:tc>
        <w:tc>
          <w:tcPr>
            <w:tcW w:type="dxa" w:w="2948"/>
            <w:tcMar>
              <w:top w:w="75" w:type="dxa"/>
              <w:start w:w="80" w:type="dxa"/>
              <w:bottom w:w="75" w:type="dxa"/>
              <w:end w:w="80" w:type="dxa"/>
            </w:tcMar>
            <w:vAlign w:val="top"/>
          </w:tcPr>
          <w:p>
            <w:pPr>
              <w:spacing w:after="0"/>
            </w:pPr>
            <w:r>
              <w:rPr>
                <w:rFonts w:ascii="Arial" w:hAnsi="Arial"/>
                <w:b w:val="0"/>
                <w:sz w:val="14"/>
              </w:rPr>
              <w:t>Same ranking, better probabilities.</w:t>
            </w:r>
          </w:p>
        </w:tc>
      </w:tr>
      <w:tr>
        <w:tc>
          <w:tcPr>
            <w:tcW w:type="dxa" w:w="2381"/>
            <w:tcMar>
              <w:top w:w="75" w:type="dxa"/>
              <w:start w:w="80" w:type="dxa"/>
              <w:bottom w:w="75" w:type="dxa"/>
              <w:end w:w="80" w:type="dxa"/>
            </w:tcMar>
            <w:vAlign w:val="top"/>
          </w:tcPr>
          <w:p>
            <w:pPr>
              <w:spacing w:after="0"/>
            </w:pPr>
            <w:r>
              <w:rPr>
                <w:rFonts w:ascii="Arial" w:hAnsi="Arial"/>
                <w:b/>
                <w:sz w:val="14"/>
              </w:rPr>
              <w:t>GBT challenger</w:t>
            </w:r>
          </w:p>
        </w:tc>
        <w:tc>
          <w:tcPr>
            <w:tcW w:type="dxa" w:w="1134"/>
            <w:tcMar>
              <w:top w:w="75" w:type="dxa"/>
              <w:start w:w="80" w:type="dxa"/>
              <w:bottom w:w="75" w:type="dxa"/>
              <w:end w:w="80" w:type="dxa"/>
            </w:tcMar>
            <w:vAlign w:val="top"/>
          </w:tcPr>
          <w:p>
            <w:pPr>
              <w:spacing w:after="0"/>
            </w:pPr>
            <w:r>
              <w:rPr>
                <w:rFonts w:ascii="Arial" w:hAnsi="Arial"/>
                <w:b w:val="0"/>
                <w:sz w:val="14"/>
              </w:rPr>
              <w:t>0.78</w:t>
            </w:r>
          </w:p>
        </w:tc>
        <w:tc>
          <w:tcPr>
            <w:tcW w:type="dxa" w:w="1417"/>
            <w:tcMar>
              <w:top w:w="75" w:type="dxa"/>
              <w:start w:w="80" w:type="dxa"/>
              <w:bottom w:w="75" w:type="dxa"/>
              <w:end w:w="80" w:type="dxa"/>
            </w:tcMar>
            <w:vAlign w:val="top"/>
          </w:tcPr>
          <w:p>
            <w:pPr>
              <w:spacing w:after="0"/>
            </w:pPr>
            <w:r>
              <w:rPr>
                <w:rFonts w:ascii="Arial" w:hAnsi="Arial"/>
                <w:b w:val="0"/>
                <w:sz w:val="14"/>
              </w:rPr>
              <w:t>0.177</w:t>
            </w:r>
          </w:p>
        </w:tc>
        <w:tc>
          <w:tcPr>
            <w:tcW w:type="dxa" w:w="1871"/>
            <w:tcMar>
              <w:top w:w="75" w:type="dxa"/>
              <w:start w:w="80" w:type="dxa"/>
              <w:bottom w:w="75" w:type="dxa"/>
              <w:end w:w="80" w:type="dxa"/>
            </w:tcMar>
            <w:vAlign w:val="top"/>
          </w:tcPr>
          <w:p>
            <w:pPr>
              <w:spacing w:after="0"/>
            </w:pPr>
            <w:r>
              <w:rPr>
                <w:rFonts w:ascii="Arial" w:hAnsi="Arial"/>
                <w:b w:val="0"/>
                <w:sz w:val="14"/>
              </w:rPr>
              <w:t>2.3 pp</w:t>
            </w:r>
          </w:p>
        </w:tc>
        <w:tc>
          <w:tcPr>
            <w:tcW w:type="dxa" w:w="2948"/>
            <w:tcMar>
              <w:top w:w="75" w:type="dxa"/>
              <w:start w:w="80" w:type="dxa"/>
              <w:bottom w:w="75" w:type="dxa"/>
              <w:end w:w="80" w:type="dxa"/>
            </w:tcMar>
            <w:vAlign w:val="top"/>
          </w:tcPr>
          <w:p>
            <w:pPr>
              <w:spacing w:after="0"/>
            </w:pPr>
            <w:r>
              <w:rPr>
                <w:rFonts w:ascii="Arial" w:hAnsi="Arial"/>
                <w:b w:val="0"/>
                <w:sz w:val="14"/>
              </w:rPr>
              <w:t>Slight discrimination gain; more extrapolation risk.</w:t>
            </w:r>
          </w:p>
        </w:tc>
      </w:tr>
    </w:tbl>
    <w:p>
      <w:pPr>
        <w:spacing w:after="0"/>
      </w:pPr>
    </w:p>
    <w:p>
      <w:pPr>
        <w:pStyle w:val="Heading2"/>
        <w:keepNext/>
        <w:spacing w:before="160" w:after="100"/>
      </w:pPr>
      <w:r>
        <w:rPr>
          <w:rFonts w:ascii="Arial" w:hAnsi="Arial"/>
          <w:b/>
          <w:sz w:val="25"/>
        </w:rPr>
        <w:t>3.10 Calibration example</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1928"/>
            <w:shd w:fill="D9E1F2"/>
            <w:tcMar>
              <w:top w:w="80" w:type="dxa"/>
              <w:start w:w="80" w:type="dxa"/>
              <w:bottom w:w="80" w:type="dxa"/>
              <w:end w:w="80" w:type="dxa"/>
            </w:tcMar>
            <w:vAlign w:val="center"/>
          </w:tcPr>
          <w:p>
            <w:pPr>
              <w:jc w:val="left"/>
            </w:pPr>
            <w:r>
              <w:rPr>
                <w:rFonts w:ascii="Arial" w:hAnsi="Arial"/>
                <w:b/>
                <w:sz w:val="15"/>
              </w:rPr>
              <w:t>Predicted bucket</w:t>
            </w:r>
          </w:p>
        </w:tc>
        <w:tc>
          <w:tcPr>
            <w:tcW w:type="dxa" w:w="1701"/>
            <w:shd w:fill="D9E1F2"/>
            <w:tcMar>
              <w:top w:w="80" w:type="dxa"/>
              <w:start w:w="80" w:type="dxa"/>
              <w:bottom w:w="80" w:type="dxa"/>
              <w:end w:w="80" w:type="dxa"/>
            </w:tcMar>
            <w:vAlign w:val="center"/>
          </w:tcPr>
          <w:p>
            <w:pPr>
              <w:jc w:val="left"/>
            </w:pPr>
            <w:r>
              <w:rPr>
                <w:rFonts w:ascii="Arial" w:hAnsi="Arial"/>
                <w:b/>
                <w:sz w:val="15"/>
              </w:rPr>
              <w:t>Mean predicted win</w:t>
            </w:r>
          </w:p>
        </w:tc>
        <w:tc>
          <w:tcPr>
            <w:tcW w:type="dxa" w:w="1701"/>
            <w:shd w:fill="D9E1F2"/>
            <w:tcMar>
              <w:top w:w="80" w:type="dxa"/>
              <w:start w:w="80" w:type="dxa"/>
              <w:bottom w:w="80" w:type="dxa"/>
              <w:end w:w="80" w:type="dxa"/>
            </w:tcMar>
            <w:vAlign w:val="center"/>
          </w:tcPr>
          <w:p>
            <w:pPr>
              <w:jc w:val="left"/>
            </w:pPr>
            <w:r>
              <w:rPr>
                <w:rFonts w:ascii="Arial" w:hAnsi="Arial"/>
                <w:b/>
                <w:sz w:val="15"/>
              </w:rPr>
              <w:t>Observed win</w:t>
            </w:r>
          </w:p>
        </w:tc>
        <w:tc>
          <w:tcPr>
            <w:tcW w:type="dxa" w:w="4422"/>
            <w:shd w:fill="D9E1F2"/>
            <w:tcMar>
              <w:top w:w="80" w:type="dxa"/>
              <w:start w:w="80" w:type="dxa"/>
              <w:bottom w:w="80" w:type="dxa"/>
              <w:end w:w="80" w:type="dxa"/>
            </w:tcMar>
            <w:vAlign w:val="center"/>
          </w:tcPr>
          <w:p>
            <w:pPr>
              <w:jc w:val="left"/>
            </w:pPr>
            <w:r>
              <w:rPr>
                <w:rFonts w:ascii="Arial" w:hAnsi="Arial"/>
                <w:b/>
                <w:sz w:val="15"/>
              </w:rPr>
              <w:t>Readout</w:t>
            </w:r>
          </w:p>
        </w:tc>
      </w:tr>
      <w:tr>
        <w:tc>
          <w:tcPr>
            <w:tcW w:type="dxa" w:w="1928"/>
            <w:tcMar>
              <w:top w:w="75" w:type="dxa"/>
              <w:start w:w="80" w:type="dxa"/>
              <w:bottom w:w="75" w:type="dxa"/>
              <w:end w:w="80" w:type="dxa"/>
            </w:tcMar>
            <w:vAlign w:val="top"/>
          </w:tcPr>
          <w:p>
            <w:pPr>
              <w:spacing w:after="0"/>
            </w:pPr>
            <w:r>
              <w:rPr>
                <w:rFonts w:ascii="Arial" w:hAnsi="Arial"/>
                <w:b/>
                <w:sz w:val="15"/>
              </w:rPr>
              <w:t>0-10%</w:t>
            </w:r>
          </w:p>
        </w:tc>
        <w:tc>
          <w:tcPr>
            <w:tcW w:type="dxa" w:w="1701"/>
            <w:tcMar>
              <w:top w:w="75" w:type="dxa"/>
              <w:start w:w="80" w:type="dxa"/>
              <w:bottom w:w="75" w:type="dxa"/>
              <w:end w:w="80" w:type="dxa"/>
            </w:tcMar>
            <w:vAlign w:val="top"/>
          </w:tcPr>
          <w:p>
            <w:pPr>
              <w:spacing w:after="0"/>
            </w:pPr>
            <w:r>
              <w:rPr>
                <w:rFonts w:ascii="Arial" w:hAnsi="Arial"/>
                <w:b w:val="0"/>
                <w:sz w:val="15"/>
              </w:rPr>
              <w:t>7%</w:t>
            </w:r>
          </w:p>
        </w:tc>
        <w:tc>
          <w:tcPr>
            <w:tcW w:type="dxa" w:w="1701"/>
            <w:tcMar>
              <w:top w:w="75" w:type="dxa"/>
              <w:start w:w="80" w:type="dxa"/>
              <w:bottom w:w="75" w:type="dxa"/>
              <w:end w:w="80" w:type="dxa"/>
            </w:tcMar>
            <w:vAlign w:val="top"/>
          </w:tcPr>
          <w:p>
            <w:pPr>
              <w:spacing w:after="0"/>
            </w:pPr>
            <w:r>
              <w:rPr>
                <w:rFonts w:ascii="Arial" w:hAnsi="Arial"/>
                <w:b w:val="0"/>
                <w:sz w:val="15"/>
              </w:rPr>
              <w:t>8%</w:t>
            </w:r>
          </w:p>
        </w:tc>
        <w:tc>
          <w:tcPr>
            <w:tcW w:type="dxa" w:w="4422"/>
            <w:tcMar>
              <w:top w:w="75" w:type="dxa"/>
              <w:start w:w="80" w:type="dxa"/>
              <w:bottom w:w="75" w:type="dxa"/>
              <w:end w:w="80" w:type="dxa"/>
            </w:tcMar>
            <w:vAlign w:val="top"/>
          </w:tcPr>
          <w:p>
            <w:pPr>
              <w:spacing w:after="0"/>
            </w:pPr>
            <w:r>
              <w:rPr>
                <w:rFonts w:ascii="Arial" w:hAnsi="Arial"/>
                <w:b w:val="0"/>
                <w:sz w:val="15"/>
              </w:rPr>
              <w:t>Good.</w:t>
            </w:r>
          </w:p>
        </w:tc>
      </w:tr>
      <w:tr>
        <w:tc>
          <w:tcPr>
            <w:tcW w:type="dxa" w:w="1928"/>
            <w:tcMar>
              <w:top w:w="75" w:type="dxa"/>
              <w:start w:w="80" w:type="dxa"/>
              <w:bottom w:w="75" w:type="dxa"/>
              <w:end w:w="80" w:type="dxa"/>
            </w:tcMar>
            <w:vAlign w:val="top"/>
          </w:tcPr>
          <w:p>
            <w:pPr>
              <w:spacing w:after="0"/>
            </w:pPr>
            <w:r>
              <w:rPr>
                <w:rFonts w:ascii="Arial" w:hAnsi="Arial"/>
                <w:b/>
                <w:sz w:val="15"/>
              </w:rPr>
              <w:t>10-20%</w:t>
            </w:r>
          </w:p>
        </w:tc>
        <w:tc>
          <w:tcPr>
            <w:tcW w:type="dxa" w:w="1701"/>
            <w:tcMar>
              <w:top w:w="75" w:type="dxa"/>
              <w:start w:w="80" w:type="dxa"/>
              <w:bottom w:w="75" w:type="dxa"/>
              <w:end w:w="80" w:type="dxa"/>
            </w:tcMar>
            <w:vAlign w:val="top"/>
          </w:tcPr>
          <w:p>
            <w:pPr>
              <w:spacing w:after="0"/>
            </w:pPr>
            <w:r>
              <w:rPr>
                <w:rFonts w:ascii="Arial" w:hAnsi="Arial"/>
                <w:b w:val="0"/>
                <w:sz w:val="15"/>
              </w:rPr>
              <w:t>15%</w:t>
            </w:r>
          </w:p>
        </w:tc>
        <w:tc>
          <w:tcPr>
            <w:tcW w:type="dxa" w:w="1701"/>
            <w:tcMar>
              <w:top w:w="75" w:type="dxa"/>
              <w:start w:w="80" w:type="dxa"/>
              <w:bottom w:w="75" w:type="dxa"/>
              <w:end w:w="80" w:type="dxa"/>
            </w:tcMar>
            <w:vAlign w:val="top"/>
          </w:tcPr>
          <w:p>
            <w:pPr>
              <w:spacing w:after="0"/>
            </w:pPr>
            <w:r>
              <w:rPr>
                <w:rFonts w:ascii="Arial" w:hAnsi="Arial"/>
                <w:b w:val="0"/>
                <w:sz w:val="15"/>
              </w:rPr>
              <w:t>16%</w:t>
            </w:r>
          </w:p>
        </w:tc>
        <w:tc>
          <w:tcPr>
            <w:tcW w:type="dxa" w:w="4422"/>
            <w:tcMar>
              <w:top w:w="75" w:type="dxa"/>
              <w:start w:w="80" w:type="dxa"/>
              <w:bottom w:w="75" w:type="dxa"/>
              <w:end w:w="80" w:type="dxa"/>
            </w:tcMar>
            <w:vAlign w:val="top"/>
          </w:tcPr>
          <w:p>
            <w:pPr>
              <w:spacing w:after="0"/>
            </w:pPr>
            <w:r>
              <w:rPr>
                <w:rFonts w:ascii="Arial" w:hAnsi="Arial"/>
                <w:b w:val="0"/>
                <w:sz w:val="15"/>
              </w:rPr>
              <w:t>Good.</w:t>
            </w:r>
          </w:p>
        </w:tc>
      </w:tr>
      <w:tr>
        <w:tc>
          <w:tcPr>
            <w:tcW w:type="dxa" w:w="1928"/>
            <w:tcMar>
              <w:top w:w="75" w:type="dxa"/>
              <w:start w:w="80" w:type="dxa"/>
              <w:bottom w:w="75" w:type="dxa"/>
              <w:end w:w="80" w:type="dxa"/>
            </w:tcMar>
            <w:vAlign w:val="top"/>
          </w:tcPr>
          <w:p>
            <w:pPr>
              <w:spacing w:after="0"/>
            </w:pPr>
            <w:r>
              <w:rPr>
                <w:rFonts w:ascii="Arial" w:hAnsi="Arial"/>
                <w:b/>
                <w:sz w:val="15"/>
              </w:rPr>
              <w:t>20-40%</w:t>
            </w:r>
          </w:p>
        </w:tc>
        <w:tc>
          <w:tcPr>
            <w:tcW w:type="dxa" w:w="1701"/>
            <w:tcMar>
              <w:top w:w="75" w:type="dxa"/>
              <w:start w:w="80" w:type="dxa"/>
              <w:bottom w:w="75" w:type="dxa"/>
              <w:end w:w="80" w:type="dxa"/>
            </w:tcMar>
            <w:vAlign w:val="top"/>
          </w:tcPr>
          <w:p>
            <w:pPr>
              <w:spacing w:after="0"/>
            </w:pPr>
            <w:r>
              <w:rPr>
                <w:rFonts w:ascii="Arial" w:hAnsi="Arial"/>
                <w:b w:val="0"/>
                <w:sz w:val="15"/>
              </w:rPr>
              <w:t>30%</w:t>
            </w:r>
          </w:p>
        </w:tc>
        <w:tc>
          <w:tcPr>
            <w:tcW w:type="dxa" w:w="1701"/>
            <w:tcMar>
              <w:top w:w="75" w:type="dxa"/>
              <w:start w:w="80" w:type="dxa"/>
              <w:bottom w:w="75" w:type="dxa"/>
              <w:end w:w="80" w:type="dxa"/>
            </w:tcMar>
            <w:vAlign w:val="top"/>
          </w:tcPr>
          <w:p>
            <w:pPr>
              <w:spacing w:after="0"/>
            </w:pPr>
            <w:r>
              <w:rPr>
                <w:rFonts w:ascii="Arial" w:hAnsi="Arial"/>
                <w:b w:val="0"/>
                <w:sz w:val="15"/>
              </w:rPr>
              <w:t>29%</w:t>
            </w:r>
          </w:p>
        </w:tc>
        <w:tc>
          <w:tcPr>
            <w:tcW w:type="dxa" w:w="4422"/>
            <w:tcMar>
              <w:top w:w="75" w:type="dxa"/>
              <w:start w:w="80" w:type="dxa"/>
              <w:bottom w:w="75" w:type="dxa"/>
              <w:end w:w="80" w:type="dxa"/>
            </w:tcMar>
            <w:vAlign w:val="top"/>
          </w:tcPr>
          <w:p>
            <w:pPr>
              <w:spacing w:after="0"/>
            </w:pPr>
            <w:r>
              <w:rPr>
                <w:rFonts w:ascii="Arial" w:hAnsi="Arial"/>
                <w:b w:val="0"/>
                <w:sz w:val="15"/>
              </w:rPr>
              <w:t>Good.</w:t>
            </w:r>
          </w:p>
        </w:tc>
      </w:tr>
      <w:tr>
        <w:tc>
          <w:tcPr>
            <w:tcW w:type="dxa" w:w="1928"/>
            <w:tcMar>
              <w:top w:w="75" w:type="dxa"/>
              <w:start w:w="80" w:type="dxa"/>
              <w:bottom w:w="75" w:type="dxa"/>
              <w:end w:w="80" w:type="dxa"/>
            </w:tcMar>
            <w:vAlign w:val="top"/>
          </w:tcPr>
          <w:p>
            <w:pPr>
              <w:spacing w:after="0"/>
            </w:pPr>
            <w:r>
              <w:rPr>
                <w:rFonts w:ascii="Arial" w:hAnsi="Arial"/>
                <w:b/>
                <w:sz w:val="15"/>
              </w:rPr>
              <w:t>40-60%</w:t>
            </w:r>
          </w:p>
        </w:tc>
        <w:tc>
          <w:tcPr>
            <w:tcW w:type="dxa" w:w="1701"/>
            <w:tcMar>
              <w:top w:w="75" w:type="dxa"/>
              <w:start w:w="80" w:type="dxa"/>
              <w:bottom w:w="75" w:type="dxa"/>
              <w:end w:w="80" w:type="dxa"/>
            </w:tcMar>
            <w:vAlign w:val="top"/>
          </w:tcPr>
          <w:p>
            <w:pPr>
              <w:spacing w:after="0"/>
            </w:pPr>
            <w:r>
              <w:rPr>
                <w:rFonts w:ascii="Arial" w:hAnsi="Arial"/>
                <w:b w:val="0"/>
                <w:sz w:val="15"/>
              </w:rPr>
              <w:t>50%</w:t>
            </w:r>
          </w:p>
        </w:tc>
        <w:tc>
          <w:tcPr>
            <w:tcW w:type="dxa" w:w="1701"/>
            <w:tcMar>
              <w:top w:w="75" w:type="dxa"/>
              <w:start w:w="80" w:type="dxa"/>
              <w:bottom w:w="75" w:type="dxa"/>
              <w:end w:w="80" w:type="dxa"/>
            </w:tcMar>
            <w:vAlign w:val="top"/>
          </w:tcPr>
          <w:p>
            <w:pPr>
              <w:spacing w:after="0"/>
            </w:pPr>
            <w:r>
              <w:rPr>
                <w:rFonts w:ascii="Arial" w:hAnsi="Arial"/>
                <w:b w:val="0"/>
                <w:sz w:val="15"/>
              </w:rPr>
              <w:t>48%</w:t>
            </w:r>
          </w:p>
        </w:tc>
        <w:tc>
          <w:tcPr>
            <w:tcW w:type="dxa" w:w="4422"/>
            <w:tcMar>
              <w:top w:w="75" w:type="dxa"/>
              <w:start w:w="80" w:type="dxa"/>
              <w:bottom w:w="75" w:type="dxa"/>
              <w:end w:w="80" w:type="dxa"/>
            </w:tcMar>
            <w:vAlign w:val="top"/>
          </w:tcPr>
          <w:p>
            <w:pPr>
              <w:spacing w:after="0"/>
            </w:pPr>
            <w:r>
              <w:rPr>
                <w:rFonts w:ascii="Arial" w:hAnsi="Arial"/>
                <w:b w:val="0"/>
                <w:sz w:val="15"/>
              </w:rPr>
              <w:t>Slight overprediction.</w:t>
            </w:r>
          </w:p>
        </w:tc>
      </w:tr>
      <w:tr>
        <w:tc>
          <w:tcPr>
            <w:tcW w:type="dxa" w:w="1928"/>
            <w:tcMar>
              <w:top w:w="75" w:type="dxa"/>
              <w:start w:w="80" w:type="dxa"/>
              <w:bottom w:w="75" w:type="dxa"/>
              <w:end w:w="80" w:type="dxa"/>
            </w:tcMar>
            <w:vAlign w:val="top"/>
          </w:tcPr>
          <w:p>
            <w:pPr>
              <w:spacing w:after="0"/>
            </w:pPr>
            <w:r>
              <w:rPr>
                <w:rFonts w:ascii="Arial" w:hAnsi="Arial"/>
                <w:b/>
                <w:sz w:val="15"/>
              </w:rPr>
              <w:t>60-80%</w:t>
            </w:r>
          </w:p>
        </w:tc>
        <w:tc>
          <w:tcPr>
            <w:tcW w:type="dxa" w:w="1701"/>
            <w:tcMar>
              <w:top w:w="75" w:type="dxa"/>
              <w:start w:w="80" w:type="dxa"/>
              <w:bottom w:w="75" w:type="dxa"/>
              <w:end w:w="80" w:type="dxa"/>
            </w:tcMar>
            <w:vAlign w:val="top"/>
          </w:tcPr>
          <w:p>
            <w:pPr>
              <w:spacing w:after="0"/>
            </w:pPr>
            <w:r>
              <w:rPr>
                <w:rFonts w:ascii="Arial" w:hAnsi="Arial"/>
                <w:b w:val="0"/>
                <w:sz w:val="15"/>
              </w:rPr>
              <w:t>70%</w:t>
            </w:r>
          </w:p>
        </w:tc>
        <w:tc>
          <w:tcPr>
            <w:tcW w:type="dxa" w:w="1701"/>
            <w:tcMar>
              <w:top w:w="75" w:type="dxa"/>
              <w:start w:w="80" w:type="dxa"/>
              <w:bottom w:w="75" w:type="dxa"/>
              <w:end w:w="80" w:type="dxa"/>
            </w:tcMar>
            <w:vAlign w:val="top"/>
          </w:tcPr>
          <w:p>
            <w:pPr>
              <w:spacing w:after="0"/>
            </w:pPr>
            <w:r>
              <w:rPr>
                <w:rFonts w:ascii="Arial" w:hAnsi="Arial"/>
                <w:b w:val="0"/>
                <w:sz w:val="15"/>
              </w:rPr>
              <w:t>68%</w:t>
            </w:r>
          </w:p>
        </w:tc>
        <w:tc>
          <w:tcPr>
            <w:tcW w:type="dxa" w:w="4422"/>
            <w:tcMar>
              <w:top w:w="75" w:type="dxa"/>
              <w:start w:w="80" w:type="dxa"/>
              <w:bottom w:w="75" w:type="dxa"/>
              <w:end w:w="80" w:type="dxa"/>
            </w:tcMar>
            <w:vAlign w:val="top"/>
          </w:tcPr>
          <w:p>
            <w:pPr>
              <w:spacing w:after="0"/>
            </w:pPr>
            <w:r>
              <w:rPr>
                <w:rFonts w:ascii="Arial" w:hAnsi="Arial"/>
                <w:b w:val="0"/>
                <w:sz w:val="15"/>
              </w:rPr>
              <w:t>Good.</w:t>
            </w:r>
          </w:p>
        </w:tc>
      </w:tr>
      <w:tr>
        <w:tc>
          <w:tcPr>
            <w:tcW w:type="dxa" w:w="1928"/>
            <w:tcMar>
              <w:top w:w="75" w:type="dxa"/>
              <w:start w:w="80" w:type="dxa"/>
              <w:bottom w:w="75" w:type="dxa"/>
              <w:end w:w="80" w:type="dxa"/>
            </w:tcMar>
            <w:vAlign w:val="top"/>
          </w:tcPr>
          <w:p>
            <w:pPr>
              <w:spacing w:after="0"/>
            </w:pPr>
            <w:r>
              <w:rPr>
                <w:rFonts w:ascii="Arial" w:hAnsi="Arial"/>
                <w:b/>
                <w:sz w:val="15"/>
              </w:rPr>
              <w:t>80-100%</w:t>
            </w:r>
          </w:p>
        </w:tc>
        <w:tc>
          <w:tcPr>
            <w:tcW w:type="dxa" w:w="1701"/>
            <w:tcMar>
              <w:top w:w="75" w:type="dxa"/>
              <w:start w:w="80" w:type="dxa"/>
              <w:bottom w:w="75" w:type="dxa"/>
              <w:end w:w="80" w:type="dxa"/>
            </w:tcMar>
            <w:vAlign w:val="top"/>
          </w:tcPr>
          <w:p>
            <w:pPr>
              <w:spacing w:after="0"/>
            </w:pPr>
            <w:r>
              <w:rPr>
                <w:rFonts w:ascii="Arial" w:hAnsi="Arial"/>
                <w:b w:val="0"/>
                <w:sz w:val="15"/>
              </w:rPr>
              <w:t>87%</w:t>
            </w:r>
          </w:p>
        </w:tc>
        <w:tc>
          <w:tcPr>
            <w:tcW w:type="dxa" w:w="1701"/>
            <w:tcMar>
              <w:top w:w="75" w:type="dxa"/>
              <w:start w:w="80" w:type="dxa"/>
              <w:bottom w:w="75" w:type="dxa"/>
              <w:end w:w="80" w:type="dxa"/>
            </w:tcMar>
            <w:vAlign w:val="top"/>
          </w:tcPr>
          <w:p>
            <w:pPr>
              <w:spacing w:after="0"/>
            </w:pPr>
            <w:r>
              <w:rPr>
                <w:rFonts w:ascii="Arial" w:hAnsi="Arial"/>
                <w:b w:val="0"/>
                <w:sz w:val="15"/>
              </w:rPr>
              <w:t>84%</w:t>
            </w:r>
          </w:p>
        </w:tc>
        <w:tc>
          <w:tcPr>
            <w:tcW w:type="dxa" w:w="4422"/>
            <w:tcMar>
              <w:top w:w="75" w:type="dxa"/>
              <w:start w:w="80" w:type="dxa"/>
              <w:bottom w:w="75" w:type="dxa"/>
              <w:end w:w="80" w:type="dxa"/>
            </w:tcMar>
            <w:vAlign w:val="top"/>
          </w:tcPr>
          <w:p>
            <w:pPr>
              <w:spacing w:after="0"/>
            </w:pPr>
            <w:r>
              <w:rPr>
                <w:rFonts w:ascii="Arial" w:hAnsi="Arial"/>
                <w:b w:val="0"/>
                <w:sz w:val="15"/>
              </w:rPr>
              <w:t>Sparse / more uncertain.</w:t>
            </w:r>
          </w:p>
        </w:tc>
      </w:tr>
    </w:tbl>
    <w:p>
      <w:pPr>
        <w:spacing w:after="0"/>
      </w:pPr>
    </w:p>
    <w:p>
      <w:pPr>
        <w:pStyle w:val="Heading2"/>
        <w:keepNext/>
        <w:spacing w:before="160" w:after="100"/>
      </w:pPr>
      <w:r>
        <w:rPr>
          <w:rFonts w:ascii="Arial" w:hAnsi="Arial"/>
          <w:b/>
          <w:sz w:val="25"/>
        </w:rPr>
        <w:t>3.11 Policy endogeneity - the hardest conceptual issue</w:t>
      </w:r>
    </w:p>
    <w:p>
      <w:pPr>
        <w:keepNext w:val="0"/>
        <w:spacing w:after="100" w:line="252" w:lineRule="auto"/>
      </w:pPr>
      <w:r>
        <w:rPr>
          <w:rFonts w:ascii="Arial" w:hAnsi="Arial"/>
          <w:i w:val="0"/>
        </w:rPr>
        <w:t>Historical quotes were chosen by traders or prior algorithms using information that may not be fully recorded. If traders quote more aggressively precisely when they believe the client is likely to trade, an observational model can attribute the higher hit rate to price even though hidden trader information influenced both price and outcome. A predictive chance-to-fill model can still be useful, but changing the quote is a causal intervention and requires stronger evidence than AUC.</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INTERVIEW POINT</w:t>
            </w:r>
          </w:p>
          <w:p>
            <w:pPr>
              <w:spacing w:after="0"/>
            </w:pPr>
            <w:r>
              <w:rPr>
                <w:rFonts w:ascii="Arial" w:hAnsi="Arial"/>
                <w:sz w:val="18"/>
              </w:rPr>
              <w:t>Prediction question: "Given the historical policy and current state, what is p(win)?" Policy question: "What would p(win) have been if I had changed the quote?" These are not automatically the same question.</w:t>
            </w:r>
          </w:p>
        </w:tc>
      </w:tr>
    </w:tbl>
    <w:p>
      <w:pPr>
        <w:spacing w:after="0"/>
      </w:pPr>
    </w:p>
    <w:p>
      <w:pPr>
        <w:pStyle w:val="Heading2"/>
        <w:keepNext/>
        <w:spacing w:before="160" w:after="100"/>
      </w:pPr>
      <w:r>
        <w:rPr>
          <w:rFonts w:ascii="Arial" w:hAnsi="Arial"/>
          <w:b/>
          <w:sz w:val="25"/>
        </w:rPr>
        <w:t>3.12 Candidate quote grid</w:t>
      </w:r>
    </w:p>
    <w:p>
      <w:pPr>
        <w:keepNext w:val="0"/>
        <w:spacing w:after="100" w:line="252" w:lineRule="auto"/>
      </w:pPr>
      <w:r>
        <w:rPr>
          <w:rFonts w:ascii="Arial" w:hAnsi="Arial"/>
          <w:i w:val="0"/>
        </w:rPr>
        <w:t>A transparent deployment design scores a bounded grid of candidate quotes around fair value. Each candidate gets its own quote-dependent features and its own p(win). The policy layer then evaluates economics and risk. The grid should remain within historically supported and desk-approved ranges.</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007"/>
        <w:gridCol w:w="2007"/>
        <w:gridCol w:w="2007"/>
        <w:gridCol w:w="2007"/>
        <w:gridCol w:w="2007"/>
      </w:tblGrid>
      <w:tr>
        <w:trPr>
          <w:tblHeader w:val="true"/>
        </w:trPr>
        <w:tc>
          <w:tcPr>
            <w:tcW w:type="dxa" w:w="1361"/>
            <w:shd w:fill="D9E1F2"/>
            <w:tcMar>
              <w:top w:w="80" w:type="dxa"/>
              <w:start w:w="80" w:type="dxa"/>
              <w:bottom w:w="80" w:type="dxa"/>
              <w:end w:w="80" w:type="dxa"/>
            </w:tcMar>
            <w:vAlign w:val="center"/>
          </w:tcPr>
          <w:p>
            <w:pPr>
              <w:jc w:val="left"/>
            </w:pPr>
            <w:r>
              <w:rPr>
                <w:rFonts w:ascii="Arial" w:hAnsi="Arial"/>
                <w:b/>
                <w:sz w:val="15"/>
              </w:rPr>
              <w:t>Candidate</w:t>
            </w:r>
          </w:p>
        </w:tc>
        <w:tc>
          <w:tcPr>
            <w:tcW w:type="dxa" w:w="2381"/>
            <w:shd w:fill="D9E1F2"/>
            <w:tcMar>
              <w:top w:w="80" w:type="dxa"/>
              <w:start w:w="80" w:type="dxa"/>
              <w:bottom w:w="80" w:type="dxa"/>
              <w:end w:w="80" w:type="dxa"/>
            </w:tcMar>
            <w:vAlign w:val="center"/>
          </w:tcPr>
          <w:p>
            <w:pPr>
              <w:jc w:val="left"/>
            </w:pPr>
            <w:r>
              <w:rPr>
                <w:rFonts w:ascii="Arial" w:hAnsi="Arial"/>
                <w:b/>
                <w:sz w:val="15"/>
              </w:rPr>
              <w:t>Client concession</w:t>
            </w:r>
          </w:p>
        </w:tc>
        <w:tc>
          <w:tcPr>
            <w:tcW w:type="dxa" w:w="1701"/>
            <w:shd w:fill="D9E1F2"/>
            <w:tcMar>
              <w:top w:w="80" w:type="dxa"/>
              <w:start w:w="80" w:type="dxa"/>
              <w:bottom w:w="80" w:type="dxa"/>
              <w:end w:w="80" w:type="dxa"/>
            </w:tcMar>
            <w:vAlign w:val="center"/>
          </w:tcPr>
          <w:p>
            <w:pPr>
              <w:jc w:val="left"/>
            </w:pPr>
            <w:r>
              <w:rPr>
                <w:rFonts w:ascii="Arial" w:hAnsi="Arial"/>
                <w:b/>
                <w:sz w:val="15"/>
              </w:rPr>
              <w:t>Predicted p(win)</w:t>
            </w:r>
          </w:p>
        </w:tc>
        <w:tc>
          <w:tcPr>
            <w:tcW w:type="dxa" w:w="2268"/>
            <w:shd w:fill="D9E1F2"/>
            <w:tcMar>
              <w:top w:w="80" w:type="dxa"/>
              <w:start w:w="80" w:type="dxa"/>
              <w:bottom w:w="80" w:type="dxa"/>
              <w:end w:w="80" w:type="dxa"/>
            </w:tcMar>
            <w:vAlign w:val="center"/>
          </w:tcPr>
          <w:p>
            <w:pPr>
              <w:jc w:val="left"/>
            </w:pPr>
            <w:r>
              <w:rPr>
                <w:rFonts w:ascii="Arial" w:hAnsi="Arial"/>
                <w:b/>
                <w:sz w:val="15"/>
              </w:rPr>
              <w:t>Dealer gross edge if won</w:t>
            </w:r>
          </w:p>
        </w:tc>
        <w:tc>
          <w:tcPr>
            <w:tcW w:type="dxa" w:w="2041"/>
            <w:shd w:fill="D9E1F2"/>
            <w:tcMar>
              <w:top w:w="80" w:type="dxa"/>
              <w:start w:w="80" w:type="dxa"/>
              <w:bottom w:w="80" w:type="dxa"/>
              <w:end w:w="80" w:type="dxa"/>
            </w:tcMar>
            <w:vAlign w:val="center"/>
          </w:tcPr>
          <w:p>
            <w:pPr>
              <w:jc w:val="left"/>
            </w:pPr>
            <w:r>
              <w:rPr>
                <w:rFonts w:ascii="Arial" w:hAnsi="Arial"/>
                <w:b/>
                <w:sz w:val="15"/>
              </w:rPr>
              <w:t>Comment</w:t>
            </w:r>
          </w:p>
        </w:tc>
      </w:tr>
      <w:tr>
        <w:tc>
          <w:tcPr>
            <w:tcW w:type="dxa" w:w="1361"/>
            <w:tcMar>
              <w:top w:w="75" w:type="dxa"/>
              <w:start w:w="80" w:type="dxa"/>
              <w:bottom w:w="75" w:type="dxa"/>
              <w:end w:w="80" w:type="dxa"/>
            </w:tcMar>
            <w:vAlign w:val="top"/>
          </w:tcPr>
          <w:p>
            <w:pPr>
              <w:spacing w:after="0"/>
            </w:pPr>
            <w:r>
              <w:rPr>
                <w:rFonts w:ascii="Arial" w:hAnsi="Arial"/>
                <w:b/>
                <w:sz w:val="15"/>
              </w:rPr>
              <w:t>A</w:t>
            </w:r>
          </w:p>
        </w:tc>
        <w:tc>
          <w:tcPr>
            <w:tcW w:type="dxa" w:w="2381"/>
            <w:tcMar>
              <w:top w:w="75" w:type="dxa"/>
              <w:start w:w="80" w:type="dxa"/>
              <w:bottom w:w="75" w:type="dxa"/>
              <w:end w:w="80" w:type="dxa"/>
            </w:tcMar>
            <w:vAlign w:val="top"/>
          </w:tcPr>
          <w:p>
            <w:pPr>
              <w:spacing w:after="0"/>
            </w:pPr>
            <w:r>
              <w:rPr>
                <w:rFonts w:ascii="Arial" w:hAnsi="Arial"/>
                <w:b w:val="0"/>
                <w:sz w:val="15"/>
              </w:rPr>
              <w:t>high / tight</w:t>
            </w:r>
          </w:p>
        </w:tc>
        <w:tc>
          <w:tcPr>
            <w:tcW w:type="dxa" w:w="1701"/>
            <w:tcMar>
              <w:top w:w="75" w:type="dxa"/>
              <w:start w:w="80" w:type="dxa"/>
              <w:bottom w:w="75" w:type="dxa"/>
              <w:end w:w="80" w:type="dxa"/>
            </w:tcMar>
            <w:vAlign w:val="top"/>
          </w:tcPr>
          <w:p>
            <w:pPr>
              <w:spacing w:after="0"/>
            </w:pPr>
            <w:r>
              <w:rPr>
                <w:rFonts w:ascii="Arial" w:hAnsi="Arial"/>
                <w:b w:val="0"/>
                <w:sz w:val="15"/>
              </w:rPr>
              <w:t>62%</w:t>
            </w:r>
          </w:p>
        </w:tc>
        <w:tc>
          <w:tcPr>
            <w:tcW w:type="dxa" w:w="2268"/>
            <w:tcMar>
              <w:top w:w="75" w:type="dxa"/>
              <w:start w:w="80" w:type="dxa"/>
              <w:bottom w:w="75" w:type="dxa"/>
              <w:end w:w="80" w:type="dxa"/>
            </w:tcMar>
            <w:vAlign w:val="top"/>
          </w:tcPr>
          <w:p>
            <w:pPr>
              <w:spacing w:after="0"/>
            </w:pPr>
            <w:r>
              <w:rPr>
                <w:rFonts w:ascii="Arial" w:hAnsi="Arial"/>
                <w:b w:val="0"/>
                <w:sz w:val="15"/>
              </w:rPr>
              <w:t>£600</w:t>
            </w:r>
          </w:p>
        </w:tc>
        <w:tc>
          <w:tcPr>
            <w:tcW w:type="dxa" w:w="2041"/>
            <w:tcMar>
              <w:top w:w="75" w:type="dxa"/>
              <w:start w:w="80" w:type="dxa"/>
              <w:bottom w:w="75" w:type="dxa"/>
              <w:end w:w="80" w:type="dxa"/>
            </w:tcMar>
            <w:vAlign w:val="top"/>
          </w:tcPr>
          <w:p>
            <w:pPr>
              <w:spacing w:after="0"/>
            </w:pPr>
            <w:r>
              <w:rPr>
                <w:rFonts w:ascii="Arial" w:hAnsi="Arial"/>
                <w:b w:val="0"/>
                <w:sz w:val="15"/>
              </w:rPr>
              <w:t>Likely to win, low edge.</w:t>
            </w:r>
          </w:p>
        </w:tc>
      </w:tr>
      <w:tr>
        <w:tc>
          <w:tcPr>
            <w:tcW w:type="dxa" w:w="1361"/>
            <w:tcMar>
              <w:top w:w="75" w:type="dxa"/>
              <w:start w:w="80" w:type="dxa"/>
              <w:bottom w:w="75" w:type="dxa"/>
              <w:end w:w="80" w:type="dxa"/>
            </w:tcMar>
            <w:vAlign w:val="top"/>
          </w:tcPr>
          <w:p>
            <w:pPr>
              <w:spacing w:after="0"/>
            </w:pPr>
            <w:r>
              <w:rPr>
                <w:rFonts w:ascii="Arial" w:hAnsi="Arial"/>
                <w:b/>
                <w:sz w:val="15"/>
              </w:rPr>
              <w:t>B</w:t>
            </w:r>
          </w:p>
        </w:tc>
        <w:tc>
          <w:tcPr>
            <w:tcW w:type="dxa" w:w="2381"/>
            <w:tcMar>
              <w:top w:w="75" w:type="dxa"/>
              <w:start w:w="80" w:type="dxa"/>
              <w:bottom w:w="75" w:type="dxa"/>
              <w:end w:w="80" w:type="dxa"/>
            </w:tcMar>
            <w:vAlign w:val="top"/>
          </w:tcPr>
          <w:p>
            <w:pPr>
              <w:spacing w:after="0"/>
            </w:pPr>
            <w:r>
              <w:rPr>
                <w:rFonts w:ascii="Arial" w:hAnsi="Arial"/>
                <w:b w:val="0"/>
                <w:sz w:val="15"/>
              </w:rPr>
              <w:t>medium</w:t>
            </w:r>
          </w:p>
        </w:tc>
        <w:tc>
          <w:tcPr>
            <w:tcW w:type="dxa" w:w="1701"/>
            <w:tcMar>
              <w:top w:w="75" w:type="dxa"/>
              <w:start w:w="80" w:type="dxa"/>
              <w:bottom w:w="75" w:type="dxa"/>
              <w:end w:w="80" w:type="dxa"/>
            </w:tcMar>
            <w:vAlign w:val="top"/>
          </w:tcPr>
          <w:p>
            <w:pPr>
              <w:spacing w:after="0"/>
            </w:pPr>
            <w:r>
              <w:rPr>
                <w:rFonts w:ascii="Arial" w:hAnsi="Arial"/>
                <w:b w:val="0"/>
                <w:sz w:val="15"/>
              </w:rPr>
              <w:t>43%</w:t>
            </w:r>
          </w:p>
        </w:tc>
        <w:tc>
          <w:tcPr>
            <w:tcW w:type="dxa" w:w="2268"/>
            <w:tcMar>
              <w:top w:w="75" w:type="dxa"/>
              <w:start w:w="80" w:type="dxa"/>
              <w:bottom w:w="75" w:type="dxa"/>
              <w:end w:w="80" w:type="dxa"/>
            </w:tcMar>
            <w:vAlign w:val="top"/>
          </w:tcPr>
          <w:p>
            <w:pPr>
              <w:spacing w:after="0"/>
            </w:pPr>
            <w:r>
              <w:rPr>
                <w:rFonts w:ascii="Arial" w:hAnsi="Arial"/>
                <w:b w:val="0"/>
                <w:sz w:val="15"/>
              </w:rPr>
              <w:t>£1,000</w:t>
            </w:r>
          </w:p>
        </w:tc>
        <w:tc>
          <w:tcPr>
            <w:tcW w:type="dxa" w:w="2041"/>
            <w:tcMar>
              <w:top w:w="75" w:type="dxa"/>
              <w:start w:w="80" w:type="dxa"/>
              <w:bottom w:w="75" w:type="dxa"/>
              <w:end w:w="80" w:type="dxa"/>
            </w:tcMar>
            <w:vAlign w:val="top"/>
          </w:tcPr>
          <w:p>
            <w:pPr>
              <w:spacing w:after="0"/>
            </w:pPr>
            <w:r>
              <w:rPr>
                <w:rFonts w:ascii="Arial" w:hAnsi="Arial"/>
                <w:b w:val="0"/>
                <w:sz w:val="15"/>
              </w:rPr>
              <w:t>Balanced.</w:t>
            </w:r>
          </w:p>
        </w:tc>
      </w:tr>
      <w:tr>
        <w:tc>
          <w:tcPr>
            <w:tcW w:type="dxa" w:w="1361"/>
            <w:tcMar>
              <w:top w:w="75" w:type="dxa"/>
              <w:start w:w="80" w:type="dxa"/>
              <w:bottom w:w="75" w:type="dxa"/>
              <w:end w:w="80" w:type="dxa"/>
            </w:tcMar>
            <w:vAlign w:val="top"/>
          </w:tcPr>
          <w:p>
            <w:pPr>
              <w:spacing w:after="0"/>
            </w:pPr>
            <w:r>
              <w:rPr>
                <w:rFonts w:ascii="Arial" w:hAnsi="Arial"/>
                <w:b/>
                <w:sz w:val="15"/>
              </w:rPr>
              <w:t>C</w:t>
            </w:r>
          </w:p>
        </w:tc>
        <w:tc>
          <w:tcPr>
            <w:tcW w:type="dxa" w:w="2381"/>
            <w:tcMar>
              <w:top w:w="75" w:type="dxa"/>
              <w:start w:w="80" w:type="dxa"/>
              <w:bottom w:w="75" w:type="dxa"/>
              <w:end w:w="80" w:type="dxa"/>
            </w:tcMar>
            <w:vAlign w:val="top"/>
          </w:tcPr>
          <w:p>
            <w:pPr>
              <w:spacing w:after="0"/>
            </w:pPr>
            <w:r>
              <w:rPr>
                <w:rFonts w:ascii="Arial" w:hAnsi="Arial"/>
                <w:b w:val="0"/>
                <w:sz w:val="15"/>
              </w:rPr>
              <w:t>low / wide</w:t>
            </w:r>
          </w:p>
        </w:tc>
        <w:tc>
          <w:tcPr>
            <w:tcW w:type="dxa" w:w="1701"/>
            <w:tcMar>
              <w:top w:w="75" w:type="dxa"/>
              <w:start w:w="80" w:type="dxa"/>
              <w:bottom w:w="75" w:type="dxa"/>
              <w:end w:w="80" w:type="dxa"/>
            </w:tcMar>
            <w:vAlign w:val="top"/>
          </w:tcPr>
          <w:p>
            <w:pPr>
              <w:spacing w:after="0"/>
            </w:pPr>
            <w:r>
              <w:rPr>
                <w:rFonts w:ascii="Arial" w:hAnsi="Arial"/>
                <w:b w:val="0"/>
                <w:sz w:val="15"/>
              </w:rPr>
              <w:t>22%</w:t>
            </w:r>
          </w:p>
        </w:tc>
        <w:tc>
          <w:tcPr>
            <w:tcW w:type="dxa" w:w="2268"/>
            <w:tcMar>
              <w:top w:w="75" w:type="dxa"/>
              <w:start w:w="80" w:type="dxa"/>
              <w:bottom w:w="75" w:type="dxa"/>
              <w:end w:w="80" w:type="dxa"/>
            </w:tcMar>
            <w:vAlign w:val="top"/>
          </w:tcPr>
          <w:p>
            <w:pPr>
              <w:spacing w:after="0"/>
            </w:pPr>
            <w:r>
              <w:rPr>
                <w:rFonts w:ascii="Arial" w:hAnsi="Arial"/>
                <w:b w:val="0"/>
                <w:sz w:val="15"/>
              </w:rPr>
              <w:t>£1,600</w:t>
            </w:r>
          </w:p>
        </w:tc>
        <w:tc>
          <w:tcPr>
            <w:tcW w:type="dxa" w:w="2041"/>
            <w:tcMar>
              <w:top w:w="75" w:type="dxa"/>
              <w:start w:w="80" w:type="dxa"/>
              <w:bottom w:w="75" w:type="dxa"/>
              <w:end w:w="80" w:type="dxa"/>
            </w:tcMar>
            <w:vAlign w:val="top"/>
          </w:tcPr>
          <w:p>
            <w:pPr>
              <w:spacing w:after="0"/>
            </w:pPr>
            <w:r>
              <w:rPr>
                <w:rFonts w:ascii="Arial" w:hAnsi="Arial"/>
                <w:b w:val="0"/>
                <w:sz w:val="15"/>
              </w:rPr>
              <w:t>High edge but low probability.</w:t>
            </w:r>
          </w:p>
        </w:tc>
      </w:tr>
    </w:tbl>
    <w:p>
      <w:pPr>
        <w:spacing w:after="0"/>
      </w:pPr>
    </w:p>
    <w:p>
      <w:pPr>
        <w:pStyle w:val="Heading2"/>
        <w:keepNext/>
        <w:spacing w:before="160" w:after="100"/>
      </w:pPr>
      <w:r>
        <w:rPr>
          <w:rFonts w:ascii="Arial" w:hAnsi="Arial"/>
          <w:b/>
          <w:sz w:val="25"/>
        </w:rPr>
        <w:t>3.13 Hypothetical shadow-policy result</w:t>
      </w:r>
    </w:p>
    <w:p>
      <w:pPr>
        <w:keepNext w:val="0"/>
        <w:spacing w:after="100" w:line="252" w:lineRule="auto"/>
      </w:pPr>
      <w:r>
        <w:rPr>
          <w:rFonts w:ascii="Arial" w:hAnsi="Arial"/>
          <w:i w:val="0"/>
        </w:rPr>
        <w:t>Suppose a bounded quote-grid policy is evaluated in shadow mode using the calibrated win model and a conservative cost model. A realistic illustrative result might be:</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2494"/>
            <w:shd w:fill="D9E1F2"/>
            <w:tcMar>
              <w:top w:w="80" w:type="dxa"/>
              <w:start w:w="80" w:type="dxa"/>
              <w:bottom w:w="80" w:type="dxa"/>
              <w:end w:w="80" w:type="dxa"/>
            </w:tcMar>
            <w:vAlign w:val="center"/>
          </w:tcPr>
          <w:p>
            <w:pPr>
              <w:jc w:val="left"/>
            </w:pPr>
            <w:r>
              <w:rPr>
                <w:rFonts w:ascii="Arial" w:hAnsi="Arial"/>
                <w:b/>
                <w:sz w:val="15"/>
              </w:rPr>
              <w:t>Metric</w:t>
            </w:r>
          </w:p>
        </w:tc>
        <w:tc>
          <w:tcPr>
            <w:tcW w:type="dxa" w:w="2041"/>
            <w:shd w:fill="D9E1F2"/>
            <w:tcMar>
              <w:top w:w="80" w:type="dxa"/>
              <w:start w:w="80" w:type="dxa"/>
              <w:bottom w:w="80" w:type="dxa"/>
              <w:end w:w="80" w:type="dxa"/>
            </w:tcMar>
            <w:vAlign w:val="center"/>
          </w:tcPr>
          <w:p>
            <w:pPr>
              <w:jc w:val="left"/>
            </w:pPr>
            <w:r>
              <w:rPr>
                <w:rFonts w:ascii="Arial" w:hAnsi="Arial"/>
                <w:b/>
                <w:sz w:val="15"/>
              </w:rPr>
              <w:t>Historical-policy replay</w:t>
            </w:r>
          </w:p>
        </w:tc>
        <w:tc>
          <w:tcPr>
            <w:tcW w:type="dxa" w:w="2041"/>
            <w:shd w:fill="D9E1F2"/>
            <w:tcMar>
              <w:top w:w="80" w:type="dxa"/>
              <w:start w:w="80" w:type="dxa"/>
              <w:bottom w:w="80" w:type="dxa"/>
              <w:end w:w="80" w:type="dxa"/>
            </w:tcMar>
            <w:vAlign w:val="center"/>
          </w:tcPr>
          <w:p>
            <w:pPr>
              <w:jc w:val="left"/>
            </w:pPr>
            <w:r>
              <w:rPr>
                <w:rFonts w:ascii="Arial" w:hAnsi="Arial"/>
                <w:b/>
                <w:sz w:val="15"/>
              </w:rPr>
              <w:t>Candidate policy</w:t>
            </w:r>
          </w:p>
        </w:tc>
        <w:tc>
          <w:tcPr>
            <w:tcW w:type="dxa" w:w="3175"/>
            <w:shd w:fill="D9E1F2"/>
            <w:tcMar>
              <w:top w:w="80" w:type="dxa"/>
              <w:start w:w="80" w:type="dxa"/>
              <w:bottom w:w="80" w:type="dxa"/>
              <w:end w:w="80" w:type="dxa"/>
            </w:tcMar>
            <w:vAlign w:val="center"/>
          </w:tcPr>
          <w:p>
            <w:pPr>
              <w:jc w:val="left"/>
            </w:pPr>
            <w:r>
              <w:rPr>
                <w:rFonts w:ascii="Arial" w:hAnsi="Arial"/>
                <w:b/>
                <w:sz w:val="15"/>
              </w:rPr>
              <w:t>Illustrative change</w:t>
            </w:r>
          </w:p>
        </w:tc>
      </w:tr>
      <w:tr>
        <w:tc>
          <w:tcPr>
            <w:tcW w:type="dxa" w:w="2494"/>
            <w:tcMar>
              <w:top w:w="75" w:type="dxa"/>
              <w:start w:w="80" w:type="dxa"/>
              <w:bottom w:w="75" w:type="dxa"/>
              <w:end w:w="80" w:type="dxa"/>
            </w:tcMar>
            <w:vAlign w:val="top"/>
          </w:tcPr>
          <w:p>
            <w:pPr>
              <w:spacing w:after="0"/>
            </w:pPr>
            <w:r>
              <w:rPr>
                <w:rFonts w:ascii="Arial" w:hAnsi="Arial"/>
                <w:b/>
                <w:sz w:val="15"/>
              </w:rPr>
              <w:t>Hit rate</w:t>
            </w:r>
          </w:p>
        </w:tc>
        <w:tc>
          <w:tcPr>
            <w:tcW w:type="dxa" w:w="2041"/>
            <w:tcMar>
              <w:top w:w="75" w:type="dxa"/>
              <w:start w:w="80" w:type="dxa"/>
              <w:bottom w:w="75" w:type="dxa"/>
              <w:end w:w="80" w:type="dxa"/>
            </w:tcMar>
            <w:vAlign w:val="top"/>
          </w:tcPr>
          <w:p>
            <w:pPr>
              <w:spacing w:after="0"/>
            </w:pPr>
            <w:r>
              <w:rPr>
                <w:rFonts w:ascii="Arial" w:hAnsi="Arial"/>
                <w:b w:val="0"/>
                <w:sz w:val="15"/>
              </w:rPr>
              <w:t>43.8%</w:t>
            </w:r>
          </w:p>
        </w:tc>
        <w:tc>
          <w:tcPr>
            <w:tcW w:type="dxa" w:w="2041"/>
            <w:tcMar>
              <w:top w:w="75" w:type="dxa"/>
              <w:start w:w="80" w:type="dxa"/>
              <w:bottom w:w="75" w:type="dxa"/>
              <w:end w:w="80" w:type="dxa"/>
            </w:tcMar>
            <w:vAlign w:val="top"/>
          </w:tcPr>
          <w:p>
            <w:pPr>
              <w:spacing w:after="0"/>
            </w:pPr>
            <w:r>
              <w:rPr>
                <w:rFonts w:ascii="Arial" w:hAnsi="Arial"/>
                <w:b w:val="0"/>
                <w:sz w:val="15"/>
              </w:rPr>
              <w:t>43.1%</w:t>
            </w:r>
          </w:p>
        </w:tc>
        <w:tc>
          <w:tcPr>
            <w:tcW w:type="dxa" w:w="3175"/>
            <w:tcMar>
              <w:top w:w="75" w:type="dxa"/>
              <w:start w:w="80" w:type="dxa"/>
              <w:bottom w:w="75" w:type="dxa"/>
              <w:end w:w="80" w:type="dxa"/>
            </w:tcMar>
            <w:vAlign w:val="top"/>
          </w:tcPr>
          <w:p>
            <w:pPr>
              <w:spacing w:after="0"/>
            </w:pPr>
            <w:r>
              <w:rPr>
                <w:rFonts w:ascii="Arial" w:hAnsi="Arial"/>
                <w:b w:val="0"/>
                <w:sz w:val="15"/>
              </w:rPr>
              <w:t>-0.7 pp</w:t>
            </w:r>
          </w:p>
        </w:tc>
      </w:tr>
      <w:tr>
        <w:tc>
          <w:tcPr>
            <w:tcW w:type="dxa" w:w="2494"/>
            <w:tcMar>
              <w:top w:w="75" w:type="dxa"/>
              <w:start w:w="80" w:type="dxa"/>
              <w:bottom w:w="75" w:type="dxa"/>
              <w:end w:w="80" w:type="dxa"/>
            </w:tcMar>
            <w:vAlign w:val="top"/>
          </w:tcPr>
          <w:p>
            <w:pPr>
              <w:spacing w:after="0"/>
            </w:pPr>
            <w:r>
              <w:rPr>
                <w:rFonts w:ascii="Arial" w:hAnsi="Arial"/>
                <w:b/>
                <w:sz w:val="15"/>
              </w:rPr>
              <w:t>Gross dealer edge per won RFQ</w:t>
            </w:r>
          </w:p>
        </w:tc>
        <w:tc>
          <w:tcPr>
            <w:tcW w:type="dxa" w:w="2041"/>
            <w:tcMar>
              <w:top w:w="75" w:type="dxa"/>
              <w:start w:w="80" w:type="dxa"/>
              <w:bottom w:w="75" w:type="dxa"/>
              <w:end w:w="80" w:type="dxa"/>
            </w:tcMar>
            <w:vAlign w:val="top"/>
          </w:tcPr>
          <w:p>
            <w:pPr>
              <w:spacing w:after="0"/>
            </w:pPr>
            <w:r>
              <w:rPr>
                <w:rFonts w:ascii="Arial" w:hAnsi="Arial"/>
                <w:b w:val="0"/>
                <w:sz w:val="15"/>
              </w:rPr>
              <w:t>£720</w:t>
            </w:r>
          </w:p>
        </w:tc>
        <w:tc>
          <w:tcPr>
            <w:tcW w:type="dxa" w:w="2041"/>
            <w:tcMar>
              <w:top w:w="75" w:type="dxa"/>
              <w:start w:w="80" w:type="dxa"/>
              <w:bottom w:w="75" w:type="dxa"/>
              <w:end w:w="80" w:type="dxa"/>
            </w:tcMar>
            <w:vAlign w:val="top"/>
          </w:tcPr>
          <w:p>
            <w:pPr>
              <w:spacing w:after="0"/>
            </w:pPr>
            <w:r>
              <w:rPr>
                <w:rFonts w:ascii="Arial" w:hAnsi="Arial"/>
                <w:b w:val="0"/>
                <w:sz w:val="15"/>
              </w:rPr>
              <w:t>£770</w:t>
            </w:r>
          </w:p>
        </w:tc>
        <w:tc>
          <w:tcPr>
            <w:tcW w:type="dxa" w:w="3175"/>
            <w:tcMar>
              <w:top w:w="75" w:type="dxa"/>
              <w:start w:w="80" w:type="dxa"/>
              <w:bottom w:w="75" w:type="dxa"/>
              <w:end w:w="80" w:type="dxa"/>
            </w:tcMar>
            <w:vAlign w:val="top"/>
          </w:tcPr>
          <w:p>
            <w:pPr>
              <w:spacing w:after="0"/>
            </w:pPr>
            <w:r>
              <w:rPr>
                <w:rFonts w:ascii="Arial" w:hAnsi="Arial"/>
                <w:b w:val="0"/>
                <w:sz w:val="15"/>
              </w:rPr>
              <w:t>+6.9%</w:t>
            </w:r>
          </w:p>
        </w:tc>
      </w:tr>
      <w:tr>
        <w:tc>
          <w:tcPr>
            <w:tcW w:type="dxa" w:w="2494"/>
            <w:tcMar>
              <w:top w:w="75" w:type="dxa"/>
              <w:start w:w="80" w:type="dxa"/>
              <w:bottom w:w="75" w:type="dxa"/>
              <w:end w:w="80" w:type="dxa"/>
            </w:tcMar>
            <w:vAlign w:val="top"/>
          </w:tcPr>
          <w:p>
            <w:pPr>
              <w:spacing w:after="0"/>
            </w:pPr>
            <w:r>
              <w:rPr>
                <w:rFonts w:ascii="Arial" w:hAnsi="Arial"/>
                <w:b/>
                <w:sz w:val="15"/>
              </w:rPr>
              <w:t>Expected net contribution per eligible RFQ</w:t>
            </w:r>
          </w:p>
        </w:tc>
        <w:tc>
          <w:tcPr>
            <w:tcW w:type="dxa" w:w="2041"/>
            <w:tcMar>
              <w:top w:w="75" w:type="dxa"/>
              <w:start w:w="80" w:type="dxa"/>
              <w:bottom w:w="75" w:type="dxa"/>
              <w:end w:w="80" w:type="dxa"/>
            </w:tcMar>
            <w:vAlign w:val="top"/>
          </w:tcPr>
          <w:p>
            <w:pPr>
              <w:spacing w:after="0"/>
            </w:pPr>
            <w:r>
              <w:rPr>
                <w:rFonts w:ascii="Arial" w:hAnsi="Arial"/>
                <w:b w:val="0"/>
                <w:sz w:val="15"/>
              </w:rPr>
              <w:t>£228</w:t>
            </w:r>
          </w:p>
        </w:tc>
        <w:tc>
          <w:tcPr>
            <w:tcW w:type="dxa" w:w="2041"/>
            <w:tcMar>
              <w:top w:w="75" w:type="dxa"/>
              <w:start w:w="80" w:type="dxa"/>
              <w:bottom w:w="75" w:type="dxa"/>
              <w:end w:w="80" w:type="dxa"/>
            </w:tcMar>
            <w:vAlign w:val="top"/>
          </w:tcPr>
          <w:p>
            <w:pPr>
              <w:spacing w:after="0"/>
            </w:pPr>
            <w:r>
              <w:rPr>
                <w:rFonts w:ascii="Arial" w:hAnsi="Arial"/>
                <w:b w:val="0"/>
                <w:sz w:val="15"/>
              </w:rPr>
              <w:t>£238</w:t>
            </w:r>
          </w:p>
        </w:tc>
        <w:tc>
          <w:tcPr>
            <w:tcW w:type="dxa" w:w="3175"/>
            <w:tcMar>
              <w:top w:w="75" w:type="dxa"/>
              <w:start w:w="80" w:type="dxa"/>
              <w:bottom w:w="75" w:type="dxa"/>
              <w:end w:w="80" w:type="dxa"/>
            </w:tcMar>
            <w:vAlign w:val="top"/>
          </w:tcPr>
          <w:p>
            <w:pPr>
              <w:spacing w:after="0"/>
            </w:pPr>
            <w:r>
              <w:rPr>
                <w:rFonts w:ascii="Arial" w:hAnsi="Arial"/>
                <w:b w:val="0"/>
                <w:sz w:val="15"/>
              </w:rPr>
              <w:t>+4.4%</w:t>
            </w:r>
          </w:p>
        </w:tc>
      </w:tr>
      <w:tr>
        <w:tc>
          <w:tcPr>
            <w:tcW w:type="dxa" w:w="2494"/>
            <w:tcMar>
              <w:top w:w="75" w:type="dxa"/>
              <w:start w:w="80" w:type="dxa"/>
              <w:bottom w:w="75" w:type="dxa"/>
              <w:end w:w="80" w:type="dxa"/>
            </w:tcMar>
            <w:vAlign w:val="top"/>
          </w:tcPr>
          <w:p>
            <w:pPr>
              <w:spacing w:after="0"/>
            </w:pPr>
            <w:r>
              <w:rPr>
                <w:rFonts w:ascii="Arial" w:hAnsi="Arial"/>
                <w:b/>
                <w:sz w:val="15"/>
              </w:rPr>
              <w:t>60s adverse markout per won RFQ</w:t>
            </w:r>
          </w:p>
        </w:tc>
        <w:tc>
          <w:tcPr>
            <w:tcW w:type="dxa" w:w="2041"/>
            <w:tcMar>
              <w:top w:w="75" w:type="dxa"/>
              <w:start w:w="80" w:type="dxa"/>
              <w:bottom w:w="75" w:type="dxa"/>
              <w:end w:w="80" w:type="dxa"/>
            </w:tcMar>
            <w:vAlign w:val="top"/>
          </w:tcPr>
          <w:p>
            <w:pPr>
              <w:spacing w:after="0"/>
            </w:pPr>
            <w:r>
              <w:rPr>
                <w:rFonts w:ascii="Arial" w:hAnsi="Arial"/>
                <w:b w:val="0"/>
                <w:sz w:val="15"/>
              </w:rPr>
              <w:t>-£92</w:t>
            </w:r>
          </w:p>
        </w:tc>
        <w:tc>
          <w:tcPr>
            <w:tcW w:type="dxa" w:w="2041"/>
            <w:tcMar>
              <w:top w:w="75" w:type="dxa"/>
              <w:start w:w="80" w:type="dxa"/>
              <w:bottom w:w="75" w:type="dxa"/>
              <w:end w:w="80" w:type="dxa"/>
            </w:tcMar>
            <w:vAlign w:val="top"/>
          </w:tcPr>
          <w:p>
            <w:pPr>
              <w:spacing w:after="0"/>
            </w:pPr>
            <w:r>
              <w:rPr>
                <w:rFonts w:ascii="Arial" w:hAnsi="Arial"/>
                <w:b w:val="0"/>
                <w:sz w:val="15"/>
              </w:rPr>
              <w:t>-£88</w:t>
            </w:r>
          </w:p>
        </w:tc>
        <w:tc>
          <w:tcPr>
            <w:tcW w:type="dxa" w:w="3175"/>
            <w:tcMar>
              <w:top w:w="75" w:type="dxa"/>
              <w:start w:w="80" w:type="dxa"/>
              <w:bottom w:w="75" w:type="dxa"/>
              <w:end w:w="80" w:type="dxa"/>
            </w:tcMar>
            <w:vAlign w:val="top"/>
          </w:tcPr>
          <w:p>
            <w:pPr>
              <w:spacing w:after="0"/>
            </w:pPr>
            <w:r>
              <w:rPr>
                <w:rFonts w:ascii="Arial" w:hAnsi="Arial"/>
                <w:b w:val="0"/>
                <w:sz w:val="15"/>
              </w:rPr>
              <w:t>Slight improvement</w:t>
            </w:r>
          </w:p>
        </w:tc>
      </w:tr>
      <w:tr>
        <w:tc>
          <w:tcPr>
            <w:tcW w:type="dxa" w:w="2494"/>
            <w:tcMar>
              <w:top w:w="75" w:type="dxa"/>
              <w:start w:w="80" w:type="dxa"/>
              <w:bottom w:w="75" w:type="dxa"/>
              <w:end w:w="80" w:type="dxa"/>
            </w:tcMar>
            <w:vAlign w:val="top"/>
          </w:tcPr>
          <w:p>
            <w:pPr>
              <w:spacing w:after="0"/>
            </w:pPr>
            <w:r>
              <w:rPr>
                <w:rFonts w:ascii="Arial" w:hAnsi="Arial"/>
                <w:b/>
                <w:sz w:val="15"/>
              </w:rPr>
              <w:t>Inventory-limit breaches</w:t>
            </w:r>
          </w:p>
        </w:tc>
        <w:tc>
          <w:tcPr>
            <w:tcW w:type="dxa" w:w="2041"/>
            <w:tcMar>
              <w:top w:w="75" w:type="dxa"/>
              <w:start w:w="80" w:type="dxa"/>
              <w:bottom w:w="75" w:type="dxa"/>
              <w:end w:w="80" w:type="dxa"/>
            </w:tcMar>
            <w:vAlign w:val="top"/>
          </w:tcPr>
          <w:p>
            <w:pPr>
              <w:spacing w:after="0"/>
            </w:pPr>
            <w:r>
              <w:rPr>
                <w:rFonts w:ascii="Arial" w:hAnsi="Arial"/>
                <w:b w:val="0"/>
                <w:sz w:val="15"/>
              </w:rPr>
              <w:t>1.00x</w:t>
            </w:r>
          </w:p>
        </w:tc>
        <w:tc>
          <w:tcPr>
            <w:tcW w:type="dxa" w:w="2041"/>
            <w:tcMar>
              <w:top w:w="75" w:type="dxa"/>
              <w:start w:w="80" w:type="dxa"/>
              <w:bottom w:w="75" w:type="dxa"/>
              <w:end w:w="80" w:type="dxa"/>
            </w:tcMar>
            <w:vAlign w:val="top"/>
          </w:tcPr>
          <w:p>
            <w:pPr>
              <w:spacing w:after="0"/>
            </w:pPr>
            <w:r>
              <w:rPr>
                <w:rFonts w:ascii="Arial" w:hAnsi="Arial"/>
                <w:b w:val="0"/>
                <w:sz w:val="15"/>
              </w:rPr>
              <w:t>0.92x</w:t>
            </w:r>
          </w:p>
        </w:tc>
        <w:tc>
          <w:tcPr>
            <w:tcW w:type="dxa" w:w="3175"/>
            <w:tcMar>
              <w:top w:w="75" w:type="dxa"/>
              <w:start w:w="80" w:type="dxa"/>
              <w:bottom w:w="75" w:type="dxa"/>
              <w:end w:w="80" w:type="dxa"/>
            </w:tcMar>
            <w:vAlign w:val="top"/>
          </w:tcPr>
          <w:p>
            <w:pPr>
              <w:spacing w:after="0"/>
            </w:pPr>
            <w:r>
              <w:rPr>
                <w:rFonts w:ascii="Arial" w:hAnsi="Arial"/>
                <w:b w:val="0"/>
                <w:sz w:val="15"/>
              </w:rPr>
              <w:t>8% fewer in simulation</w:t>
            </w:r>
          </w:p>
        </w:tc>
      </w:tr>
    </w:tbl>
    <w:p>
      <w:pPr>
        <w:spacing w:after="0"/>
      </w:pP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IMPORTANT</w:t>
            </w:r>
          </w:p>
          <w:p>
            <w:pPr>
              <w:spacing w:after="0"/>
            </w:pPr>
            <w:r>
              <w:rPr>
                <w:rFonts w:ascii="Arial" w:hAnsi="Arial"/>
                <w:sz w:val="18"/>
              </w:rPr>
              <w:t>This would still be a shadow / counterfactual result, not proof of live uplift. A controlled release or defensible policy evaluation is needed before claiming realised commercial benefit.</w:t>
            </w:r>
          </w:p>
        </w:tc>
      </w:tr>
    </w:tbl>
    <w:p>
      <w:pPr>
        <w:spacing w:after="0"/>
      </w:pPr>
    </w:p>
    <w:p>
      <w:pPr>
        <w:pStyle w:val="Heading2"/>
        <w:keepNext/>
        <w:spacing w:before="160" w:after="100"/>
      </w:pPr>
      <w:r>
        <w:rPr>
          <w:rFonts w:ascii="Arial" w:hAnsi="Arial"/>
          <w:b/>
          <w:sz w:val="25"/>
        </w:rPr>
        <w:t>3.14 Production design</w:t>
      </w:r>
    </w:p>
    <w:p>
      <w:pPr>
        <w:keepNext w:val="0"/>
        <w:spacing w:after="100" w:line="252" w:lineRule="auto"/>
      </w:pPr>
      <w:r>
        <w:rPr>
          <w:rFonts w:ascii="Arial" w:hAnsi="Arial"/>
          <w:i w:val="0"/>
        </w:rPr>
        <w:t>A serving path snapshots RFQ context, builds candidate-specific features, scores each allowed quote, evaluates expected economic contribution, applies inventory/credit/risk limits and returns a bounded recommendation. Log candidate grid, model version, predicted probabilities, chosen quote, trader override, outcome and later markouts. That log is necessary for monitoring and future policy evaluation.</w:t>
      </w:r>
    </w:p>
    <w:p>
      <w:pPr>
        <w:pStyle w:val="Heading2"/>
        <w:keepNext/>
        <w:spacing w:before="160" w:after="100"/>
      </w:pPr>
      <w:r>
        <w:rPr>
          <w:rFonts w:ascii="Arial" w:hAnsi="Arial"/>
          <w:b/>
          <w:sz w:val="25"/>
        </w:rPr>
        <w:t>3.15 Challenges and limitations</w:t>
      </w:r>
    </w:p>
    <w:p>
      <w:pPr>
        <w:pStyle w:val="ListBullet"/>
        <w:spacing w:after="50" w:line="247" w:lineRule="auto"/>
      </w:pPr>
      <w:r>
        <w:rPr>
          <w:rFonts w:ascii="Arial" w:hAnsi="Arial"/>
        </w:rPr>
        <w:t>Counterfactuals are not observed: only the offered quote has a real outcome.</w:t>
      </w:r>
    </w:p>
    <w:p>
      <w:pPr>
        <w:pStyle w:val="ListBullet"/>
        <w:spacing w:after="50" w:line="247" w:lineRule="auto"/>
      </w:pPr>
      <w:r>
        <w:rPr>
          <w:rFonts w:ascii="Arial" w:hAnsi="Arial"/>
        </w:rPr>
        <w:t>Historical policy endogeneity can bias price-sensitivity estimates.</w:t>
      </w:r>
    </w:p>
    <w:p>
      <w:pPr>
        <w:pStyle w:val="ListBullet"/>
        <w:spacing w:after="50" w:line="247" w:lineRule="auto"/>
      </w:pPr>
      <w:r>
        <w:rPr>
          <w:rFonts w:ascii="Arial" w:hAnsi="Arial"/>
        </w:rPr>
        <w:t>Sparse clients and products create unstable local models; pooling/shrinkage choices matter.</w:t>
      </w:r>
    </w:p>
    <w:p>
      <w:pPr>
        <w:pStyle w:val="ListBullet"/>
        <w:spacing w:after="50" w:line="247" w:lineRule="auto"/>
      </w:pPr>
      <w:r>
        <w:rPr>
          <w:rFonts w:ascii="Arial" w:hAnsi="Arial"/>
        </w:rPr>
        <w:t>Competitor quotes are often unobserved at decision time.</w:t>
      </w:r>
    </w:p>
    <w:p>
      <w:pPr>
        <w:pStyle w:val="ListBullet"/>
        <w:spacing w:after="50" w:line="247" w:lineRule="auto"/>
      </w:pPr>
      <w:r>
        <w:rPr>
          <w:rFonts w:ascii="Arial" w:hAnsi="Arial"/>
        </w:rPr>
        <w:t>Delayed RFQ outcomes and cancellations complicate online updating.</w:t>
      </w:r>
    </w:p>
    <w:p>
      <w:pPr>
        <w:pStyle w:val="ListBullet"/>
        <w:spacing w:after="50" w:line="247" w:lineRule="auto"/>
      </w:pPr>
      <w:r>
        <w:rPr>
          <w:rFonts w:ascii="Arial" w:hAnsi="Arial"/>
        </w:rPr>
        <w:t>Probability calibration drifts when the desk changes its quoting policy.</w:t>
      </w:r>
    </w:p>
    <w:p>
      <w:pPr>
        <w:pStyle w:val="ListBullet"/>
        <w:spacing w:after="50" w:line="247" w:lineRule="auto"/>
      </w:pPr>
      <w:r>
        <w:rPr>
          <w:rFonts w:ascii="Arial" w:hAnsi="Arial"/>
        </w:rPr>
        <w:t>Model extrapolation outside the historical quote range is unsafe even when a logistic formula returns a number.</w:t>
      </w:r>
    </w:p>
    <w:p>
      <w:pPr>
        <w:pStyle w:val="Heading2"/>
        <w:keepNext/>
        <w:spacing w:before="160" w:after="100"/>
      </w:pPr>
      <w:r>
        <w:rPr>
          <w:rFonts w:ascii="Arial" w:hAnsi="Arial"/>
          <w:b/>
          <w:sz w:val="25"/>
        </w:rPr>
        <w:t>3.16 What I would do differently today</w:t>
      </w:r>
    </w:p>
    <w:p>
      <w:pPr>
        <w:pStyle w:val="ListBullet"/>
        <w:spacing w:after="50" w:line="247" w:lineRule="auto"/>
      </w:pPr>
      <w:r>
        <w:rPr>
          <w:rFonts w:ascii="Arial" w:hAnsi="Arial"/>
        </w:rPr>
        <w:t>Use hierarchical logistic / partial pooling or monotonic boosted models for client/product heterogeneity while preserving calibrated price response.</w:t>
      </w:r>
    </w:p>
    <w:p>
      <w:pPr>
        <w:pStyle w:val="ListBullet"/>
        <w:spacing w:after="50" w:line="247" w:lineRule="auto"/>
      </w:pPr>
      <w:r>
        <w:rPr>
          <w:rFonts w:ascii="Arial" w:hAnsi="Arial"/>
        </w:rPr>
        <w:t>Log action propensities and policy state explicitly to make future off-policy evaluation more credible.</w:t>
      </w:r>
    </w:p>
    <w:p>
      <w:pPr>
        <w:pStyle w:val="ListBullet"/>
        <w:spacing w:after="50" w:line="247" w:lineRule="auto"/>
      </w:pPr>
      <w:r>
        <w:rPr>
          <w:rFonts w:ascii="Arial" w:hAnsi="Arial"/>
        </w:rPr>
        <w:t>Use bounded experimentation for selected low-risk RFQ segments to learn price-response curves rather than relying entirely on observational variation.</w:t>
      </w:r>
    </w:p>
    <w:p>
      <w:pPr>
        <w:pStyle w:val="ListBullet"/>
        <w:spacing w:after="50" w:line="247" w:lineRule="auto"/>
      </w:pPr>
      <w:r>
        <w:rPr>
          <w:rFonts w:ascii="Arial" w:hAnsi="Arial"/>
        </w:rPr>
        <w:t>Model outcome maturity and delayed labels explicitly in online updating.</w:t>
      </w:r>
    </w:p>
    <w:p>
      <w:pPr>
        <w:pStyle w:val="ListBullet"/>
        <w:spacing w:after="50" w:line="247" w:lineRule="auto"/>
      </w:pPr>
      <w:r>
        <w:rPr>
          <w:rFonts w:ascii="Arial" w:hAnsi="Arial"/>
        </w:rPr>
        <w:t>Separate chance-to-fill uncertainty from economic-value uncertainty and reduce automation when either is outside support.</w:t>
      </w:r>
    </w:p>
    <w:p>
      <w:pPr>
        <w:pStyle w:val="Heading2"/>
        <w:keepNext/>
        <w:spacing w:before="160" w:after="100"/>
      </w:pPr>
      <w:r>
        <w:rPr>
          <w:rFonts w:ascii="Arial" w:hAnsi="Arial"/>
          <w:b/>
          <w:sz w:val="25"/>
        </w:rPr>
        <w:t>3.17 Interview defence</w:t>
      </w:r>
    </w:p>
    <w:p>
      <w:pPr>
        <w:keepLines/>
        <w:spacing w:after="0" w:before="0"/>
      </w:pPr>
      <w:r>
        <w:rPr>
          <w:rFonts w:ascii="Arial" w:hAnsi="Arial"/>
          <w:b/>
          <w:sz w:val="18"/>
        </w:rPr>
        <w:t>Q: Is this a pricing model?</w:t>
      </w:r>
    </w:p>
    <w:p>
      <w:pPr>
        <w:keepLines/>
        <w:spacing w:after="0" w:before="0"/>
        <w:ind w:left="227"/>
      </w:pPr>
      <w:r>
        <w:rPr>
          <w:rFonts w:ascii="Arial" w:hAnsi="Arial"/>
          <w:sz w:val="18"/>
        </w:rPr>
        <w:t>A: Not in the valuation sense. Fair value comes from a separate bond/swap pricing framework. The model estimates the client response probability to a proposed quote; the quoting policy combines both with economics and risk.</w:t>
      </w:r>
    </w:p>
    <w:p>
      <w:pPr>
        <w:keepLines/>
        <w:spacing w:after="0" w:before="0"/>
      </w:pPr>
      <w:r>
        <w:rPr>
          <w:rFonts w:ascii="Arial" w:hAnsi="Arial"/>
          <w:b/>
          <w:sz w:val="18"/>
        </w:rPr>
        <w:t>Q: What was your positive class?</w:t>
      </w:r>
    </w:p>
    <w:p>
      <w:pPr>
        <w:keepLines/>
        <w:spacing w:after="0" w:before="0"/>
        <w:ind w:left="227"/>
      </w:pPr>
      <w:r>
        <w:rPr>
          <w:rFonts w:ascii="Arial" w:hAnsi="Arial"/>
          <w:sz w:val="18"/>
        </w:rPr>
        <w:t>A: I would define the eligible RFQ population and the treatment of won, lost, no-trade, cancelled and unknown outcomes explicitly. The denominator is more important than a fashionable classifier.</w:t>
      </w:r>
    </w:p>
    <w:p>
      <w:pPr>
        <w:keepLines/>
        <w:spacing w:after="0" w:before="0"/>
      </w:pPr>
      <w:r>
        <w:rPr>
          <w:rFonts w:ascii="Arial" w:hAnsi="Arial"/>
          <w:b/>
          <w:sz w:val="18"/>
        </w:rPr>
        <w:t>Q: What exactly was Bayesian?</w:t>
      </w:r>
    </w:p>
    <w:p>
      <w:pPr>
        <w:keepLines/>
        <w:spacing w:after="0" w:before="0"/>
        <w:ind w:left="227"/>
      </w:pPr>
      <w:r>
        <w:rPr>
          <w:rFonts w:ascii="Arial" w:hAnsi="Arial"/>
          <w:sz w:val="18"/>
        </w:rPr>
        <w:t>A: In this reconstruction, a shrunk Beta-Binomial client/segment propensity was updated as outcomes matured and used alongside the contextual logistic model. I would only claim that mechanism if it matches the historical implementation.</w:t>
      </w:r>
    </w:p>
    <w:p>
      <w:pPr>
        <w:keepLines/>
        <w:spacing w:after="0" w:before="0"/>
      </w:pPr>
      <w:r>
        <w:rPr>
          <w:rFonts w:ascii="Arial" w:hAnsi="Arial"/>
          <w:b/>
          <w:sz w:val="18"/>
        </w:rPr>
        <w:t>Q: Why not optimise hit rate directly?</w:t>
      </w:r>
    </w:p>
    <w:p>
      <w:pPr>
        <w:keepLines/>
        <w:spacing w:after="0" w:before="0"/>
        <w:ind w:left="227"/>
      </w:pPr>
      <w:r>
        <w:rPr>
          <w:rFonts w:ascii="Arial" w:hAnsi="Arial"/>
          <w:sz w:val="18"/>
        </w:rPr>
        <w:t>A: Because the tightest quote can maximise hit rate while destroying spread and selecting adverse flow. The decision should maximise expected contribution subject to inventory and risk constraints.</w:t>
      </w:r>
    </w:p>
    <w:p>
      <w:pPr>
        <w:pStyle w:val="Heading1"/>
        <w:keepNext/>
        <w:spacing w:before="240" w:after="100"/>
      </w:pPr>
      <w:r>
        <w:rPr>
          <w:rFonts w:ascii="Arial" w:hAnsi="Arial"/>
          <w:b/>
          <w:sz w:val="30"/>
        </w:rPr>
        <w:t>4. Market-making economics and quote decisioning</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CV CLAIM</w:t>
            </w:r>
          </w:p>
          <w:p>
            <w:pPr>
              <w:spacing w:after="0"/>
            </w:pPr>
            <w:r>
              <w:rPr>
                <w:rFonts w:ascii="Arial" w:hAnsi="Arial"/>
                <w:sz w:val="18"/>
              </w:rPr>
              <w:t>Evaluated / calibrated RFQ models against win rate, spread capture at a given hit rate and P&amp;L/revenue outcomes, linking statistical model performance directly to quoting economics.</w:t>
            </w:r>
          </w:p>
        </w:tc>
      </w:tr>
    </w:tbl>
    <w:p>
      <w:pPr>
        <w:spacing w:after="0"/>
      </w:pPr>
    </w:p>
    <w:p>
      <w:pPr>
        <w:pStyle w:val="Heading2"/>
        <w:keepNext/>
        <w:spacing w:before="160" w:after="100"/>
      </w:pPr>
      <w:r>
        <w:rPr>
          <w:rFonts w:ascii="Arial" w:hAnsi="Arial"/>
          <w:b/>
          <w:sz w:val="25"/>
        </w:rPr>
        <w:t>4.1 The economic objective</w:t>
      </w:r>
    </w:p>
    <w:p>
      <w:pPr>
        <w:keepNext w:val="0"/>
        <w:spacing w:after="100" w:line="252" w:lineRule="auto"/>
      </w:pPr>
      <w:r>
        <w:rPr>
          <w:rFonts w:ascii="Arial" w:hAnsi="Arial"/>
          <w:i w:val="0"/>
        </w:rPr>
        <w:t>The key interview point is that a probability model is an input, not the objective. A market maker wants an economically attractive tradeoff among probability of winning, initial spread/edge, expected hedge cost, adverse selection, inventory effects and risk constraints.</w:t>
      </w:r>
    </w:p>
    <w:p>
      <w:pPr>
        <w:keepLines/>
        <w:spacing w:before="60" w:after="80"/>
        <w:ind w:left="312" w:right="170"/>
        <w:jc w:val="center"/>
      </w:pPr>
      <w:r>
        <w:rPr>
          <w:rFonts w:ascii="Cambria Math" w:hAnsi="Cambria Math" w:eastAsia="Cambria Math" w:cs="Cambria Math"/>
          <w:sz w:val="21"/>
        </w:rPr>
        <w:t>EV(quote) = p_win(quote, state) · E[net_contribution | win, quote, state]</w:t>
      </w:r>
    </w:p>
    <w:p>
      <w:pPr>
        <w:keepLines/>
        <w:spacing w:before="60" w:after="80"/>
        <w:ind w:left="312" w:right="170"/>
        <w:jc w:val="center"/>
      </w:pPr>
      <w:r>
        <w:rPr>
          <w:rFonts w:ascii="Cambria Math" w:hAnsi="Cambria Math" w:eastAsia="Cambria Math" w:cs="Cambria Math"/>
          <w:sz w:val="21"/>
        </w:rPr>
        <w:t>net_contribution = initial_edge − hedge_cost − fees − adverse_markout ± inventory_value</w:t>
      </w:r>
    </w:p>
    <w:p>
      <w:pPr>
        <w:keepNext w:val="0"/>
        <w:spacing w:after="100" w:line="252" w:lineRule="auto"/>
      </w:pPr>
      <w:r>
        <w:rPr>
          <w:rFonts w:ascii="Arial" w:hAnsi="Arial"/>
          <w:i w:val="0"/>
        </w:rPr>
        <w:t>Do not subtract the same loss twice. If hedge cost is measured from the client reference price through the eventual hedge and already includes adverse movement, a separate markout penalty over the same interval can double count.</w:t>
      </w:r>
    </w:p>
    <w:p>
      <w:pPr>
        <w:pStyle w:val="Heading2"/>
        <w:keepNext/>
        <w:spacing w:before="160" w:after="100"/>
      </w:pPr>
      <w:r>
        <w:rPr>
          <w:rFonts w:ascii="Arial" w:hAnsi="Arial"/>
          <w:b/>
          <w:sz w:val="25"/>
        </w:rPr>
        <w:t>4.2 Worked bond quote example</w:t>
      </w:r>
    </w:p>
    <w:p>
      <w:pPr>
        <w:keepNext w:val="0"/>
        <w:spacing w:after="100" w:line="252" w:lineRule="auto"/>
      </w:pPr>
      <w:r>
        <w:rPr>
          <w:rFonts w:ascii="Arial" w:hAnsi="Arial"/>
          <w:i w:val="0"/>
        </w:rPr>
        <w:t>Client wants to buy £2m nominal of a bond. Reference clean mid is 100.00. A 0.01 price point per 100 nominal equals £200 of gross edge on £2m nominal.</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73"/>
        <w:gridCol w:w="1673"/>
        <w:gridCol w:w="1673"/>
        <w:gridCol w:w="1673"/>
        <w:gridCol w:w="1673"/>
        <w:gridCol w:w="1673"/>
      </w:tblGrid>
      <w:tr>
        <w:trPr>
          <w:tblHeader w:val="true"/>
        </w:trPr>
        <w:tc>
          <w:tcPr>
            <w:tcW w:type="dxa" w:w="1417"/>
            <w:shd w:fill="D9E1F2"/>
            <w:tcMar>
              <w:top w:w="80" w:type="dxa"/>
              <w:start w:w="80" w:type="dxa"/>
              <w:bottom w:w="80" w:type="dxa"/>
              <w:end w:w="80" w:type="dxa"/>
            </w:tcMar>
            <w:vAlign w:val="center"/>
          </w:tcPr>
          <w:p>
            <w:pPr>
              <w:jc w:val="left"/>
            </w:pPr>
            <w:r>
              <w:rPr>
                <w:rFonts w:ascii="Arial" w:hAnsi="Arial"/>
                <w:b/>
                <w:sz w:val="15"/>
              </w:rPr>
              <w:t>Candidate ask</w:t>
            </w:r>
          </w:p>
        </w:tc>
        <w:tc>
          <w:tcPr>
            <w:tcW w:type="dxa" w:w="1701"/>
            <w:shd w:fill="D9E1F2"/>
            <w:tcMar>
              <w:top w:w="80" w:type="dxa"/>
              <w:start w:w="80" w:type="dxa"/>
              <w:bottom w:w="80" w:type="dxa"/>
              <w:end w:w="80" w:type="dxa"/>
            </w:tcMar>
            <w:vAlign w:val="center"/>
          </w:tcPr>
          <w:p>
            <w:pPr>
              <w:jc w:val="left"/>
            </w:pPr>
            <w:r>
              <w:rPr>
                <w:rFonts w:ascii="Arial" w:hAnsi="Arial"/>
                <w:b/>
                <w:sz w:val="15"/>
              </w:rPr>
              <w:t>Gross edge if won</w:t>
            </w:r>
          </w:p>
        </w:tc>
        <w:tc>
          <w:tcPr>
            <w:tcW w:type="dxa" w:w="1134"/>
            <w:shd w:fill="D9E1F2"/>
            <w:tcMar>
              <w:top w:w="80" w:type="dxa"/>
              <w:start w:w="80" w:type="dxa"/>
              <w:bottom w:w="80" w:type="dxa"/>
              <w:end w:w="80" w:type="dxa"/>
            </w:tcMar>
            <w:vAlign w:val="center"/>
          </w:tcPr>
          <w:p>
            <w:pPr>
              <w:jc w:val="left"/>
            </w:pPr>
            <w:r>
              <w:rPr>
                <w:rFonts w:ascii="Arial" w:hAnsi="Arial"/>
                <w:b/>
                <w:sz w:val="15"/>
              </w:rPr>
              <w:t>p(win)</w:t>
            </w:r>
          </w:p>
        </w:tc>
        <w:tc>
          <w:tcPr>
            <w:tcW w:type="dxa" w:w="2268"/>
            <w:shd w:fill="D9E1F2"/>
            <w:tcMar>
              <w:top w:w="80" w:type="dxa"/>
              <w:start w:w="80" w:type="dxa"/>
              <w:bottom w:w="80" w:type="dxa"/>
              <w:end w:w="80" w:type="dxa"/>
            </w:tcMar>
            <w:vAlign w:val="center"/>
          </w:tcPr>
          <w:p>
            <w:pPr>
              <w:jc w:val="left"/>
            </w:pPr>
            <w:r>
              <w:rPr>
                <w:rFonts w:ascii="Arial" w:hAnsi="Arial"/>
                <w:b/>
                <w:sz w:val="15"/>
              </w:rPr>
              <w:t>Expected hedge/fees/markout</w:t>
            </w:r>
          </w:p>
        </w:tc>
        <w:tc>
          <w:tcPr>
            <w:tcW w:type="dxa" w:w="1928"/>
            <w:shd w:fill="D9E1F2"/>
            <w:tcMar>
              <w:top w:w="80" w:type="dxa"/>
              <w:start w:w="80" w:type="dxa"/>
              <w:bottom w:w="80" w:type="dxa"/>
              <w:end w:w="80" w:type="dxa"/>
            </w:tcMar>
            <w:vAlign w:val="center"/>
          </w:tcPr>
          <w:p>
            <w:pPr>
              <w:jc w:val="left"/>
            </w:pPr>
            <w:r>
              <w:rPr>
                <w:rFonts w:ascii="Arial" w:hAnsi="Arial"/>
                <w:b/>
                <w:sz w:val="15"/>
              </w:rPr>
              <w:t>Net contribution if won</w:t>
            </w:r>
          </w:p>
        </w:tc>
        <w:tc>
          <w:tcPr>
            <w:tcW w:type="dxa" w:w="1587"/>
            <w:shd w:fill="D9E1F2"/>
            <w:tcMar>
              <w:top w:w="80" w:type="dxa"/>
              <w:start w:w="80" w:type="dxa"/>
              <w:bottom w:w="80" w:type="dxa"/>
              <w:end w:w="80" w:type="dxa"/>
            </w:tcMar>
            <w:vAlign w:val="center"/>
          </w:tcPr>
          <w:p>
            <w:pPr>
              <w:jc w:val="left"/>
            </w:pPr>
            <w:r>
              <w:rPr>
                <w:rFonts w:ascii="Arial" w:hAnsi="Arial"/>
                <w:b/>
                <w:sz w:val="15"/>
              </w:rPr>
              <w:t>EV per request</w:t>
            </w:r>
          </w:p>
        </w:tc>
      </w:tr>
      <w:tr>
        <w:tc>
          <w:tcPr>
            <w:tcW w:type="dxa" w:w="1417"/>
            <w:tcMar>
              <w:top w:w="75" w:type="dxa"/>
              <w:start w:w="80" w:type="dxa"/>
              <w:bottom w:w="75" w:type="dxa"/>
              <w:end w:w="80" w:type="dxa"/>
            </w:tcMar>
            <w:vAlign w:val="top"/>
          </w:tcPr>
          <w:p>
            <w:pPr>
              <w:spacing w:after="0"/>
            </w:pPr>
            <w:r>
              <w:rPr>
                <w:rFonts w:ascii="Arial" w:hAnsi="Arial"/>
                <w:b/>
                <w:sz w:val="15"/>
              </w:rPr>
              <w:t>100.03</w:t>
            </w:r>
          </w:p>
        </w:tc>
        <w:tc>
          <w:tcPr>
            <w:tcW w:type="dxa" w:w="1701"/>
            <w:tcMar>
              <w:top w:w="75" w:type="dxa"/>
              <w:start w:w="80" w:type="dxa"/>
              <w:bottom w:w="75" w:type="dxa"/>
              <w:end w:w="80" w:type="dxa"/>
            </w:tcMar>
            <w:vAlign w:val="top"/>
          </w:tcPr>
          <w:p>
            <w:pPr>
              <w:spacing w:after="0"/>
            </w:pPr>
            <w:r>
              <w:rPr>
                <w:rFonts w:ascii="Arial" w:hAnsi="Arial"/>
                <w:b w:val="0"/>
                <w:sz w:val="15"/>
              </w:rPr>
              <w:t>£600</w:t>
            </w:r>
          </w:p>
        </w:tc>
        <w:tc>
          <w:tcPr>
            <w:tcW w:type="dxa" w:w="1134"/>
            <w:tcMar>
              <w:top w:w="75" w:type="dxa"/>
              <w:start w:w="80" w:type="dxa"/>
              <w:bottom w:w="75" w:type="dxa"/>
              <w:end w:w="80" w:type="dxa"/>
            </w:tcMar>
            <w:vAlign w:val="top"/>
          </w:tcPr>
          <w:p>
            <w:pPr>
              <w:spacing w:after="0"/>
            </w:pPr>
            <w:r>
              <w:rPr>
                <w:rFonts w:ascii="Arial" w:hAnsi="Arial"/>
                <w:b w:val="0"/>
                <w:sz w:val="15"/>
              </w:rPr>
              <w:t>62%</w:t>
            </w:r>
          </w:p>
        </w:tc>
        <w:tc>
          <w:tcPr>
            <w:tcW w:type="dxa" w:w="2268"/>
            <w:tcMar>
              <w:top w:w="75" w:type="dxa"/>
              <w:start w:w="80" w:type="dxa"/>
              <w:bottom w:w="75" w:type="dxa"/>
              <w:end w:w="80" w:type="dxa"/>
            </w:tcMar>
            <w:vAlign w:val="top"/>
          </w:tcPr>
          <w:p>
            <w:pPr>
              <w:spacing w:after="0"/>
            </w:pPr>
            <w:r>
              <w:rPr>
                <w:rFonts w:ascii="Arial" w:hAnsi="Arial"/>
                <w:b w:val="0"/>
                <w:sz w:val="15"/>
              </w:rPr>
              <w:t>£250</w:t>
            </w:r>
          </w:p>
        </w:tc>
        <w:tc>
          <w:tcPr>
            <w:tcW w:type="dxa" w:w="1928"/>
            <w:tcMar>
              <w:top w:w="75" w:type="dxa"/>
              <w:start w:w="80" w:type="dxa"/>
              <w:bottom w:w="75" w:type="dxa"/>
              <w:end w:w="80" w:type="dxa"/>
            </w:tcMar>
            <w:vAlign w:val="top"/>
          </w:tcPr>
          <w:p>
            <w:pPr>
              <w:spacing w:after="0"/>
            </w:pPr>
            <w:r>
              <w:rPr>
                <w:rFonts w:ascii="Arial" w:hAnsi="Arial"/>
                <w:b w:val="0"/>
                <w:sz w:val="15"/>
              </w:rPr>
              <w:t>£350</w:t>
            </w:r>
          </w:p>
        </w:tc>
        <w:tc>
          <w:tcPr>
            <w:tcW w:type="dxa" w:w="1587"/>
            <w:tcMar>
              <w:top w:w="75" w:type="dxa"/>
              <w:start w:w="80" w:type="dxa"/>
              <w:bottom w:w="75" w:type="dxa"/>
              <w:end w:w="80" w:type="dxa"/>
            </w:tcMar>
            <w:vAlign w:val="top"/>
          </w:tcPr>
          <w:p>
            <w:pPr>
              <w:spacing w:after="0"/>
            </w:pPr>
            <w:r>
              <w:rPr>
                <w:rFonts w:ascii="Arial" w:hAnsi="Arial"/>
                <w:b w:val="0"/>
                <w:sz w:val="15"/>
              </w:rPr>
              <w:t>£217</w:t>
            </w:r>
          </w:p>
        </w:tc>
      </w:tr>
      <w:tr>
        <w:tc>
          <w:tcPr>
            <w:tcW w:type="dxa" w:w="1417"/>
            <w:tcMar>
              <w:top w:w="75" w:type="dxa"/>
              <w:start w:w="80" w:type="dxa"/>
              <w:bottom w:w="75" w:type="dxa"/>
              <w:end w:w="80" w:type="dxa"/>
            </w:tcMar>
            <w:vAlign w:val="top"/>
          </w:tcPr>
          <w:p>
            <w:pPr>
              <w:spacing w:after="0"/>
            </w:pPr>
            <w:r>
              <w:rPr>
                <w:rFonts w:ascii="Arial" w:hAnsi="Arial"/>
                <w:b/>
                <w:sz w:val="15"/>
              </w:rPr>
              <w:t>100.05</w:t>
            </w:r>
          </w:p>
        </w:tc>
        <w:tc>
          <w:tcPr>
            <w:tcW w:type="dxa" w:w="1701"/>
            <w:tcMar>
              <w:top w:w="75" w:type="dxa"/>
              <w:start w:w="80" w:type="dxa"/>
              <w:bottom w:w="75" w:type="dxa"/>
              <w:end w:w="80" w:type="dxa"/>
            </w:tcMar>
            <w:vAlign w:val="top"/>
          </w:tcPr>
          <w:p>
            <w:pPr>
              <w:spacing w:after="0"/>
            </w:pPr>
            <w:r>
              <w:rPr>
                <w:rFonts w:ascii="Arial" w:hAnsi="Arial"/>
                <w:b w:val="0"/>
                <w:sz w:val="15"/>
              </w:rPr>
              <w:t>£1,000</w:t>
            </w:r>
          </w:p>
        </w:tc>
        <w:tc>
          <w:tcPr>
            <w:tcW w:type="dxa" w:w="1134"/>
            <w:tcMar>
              <w:top w:w="75" w:type="dxa"/>
              <w:start w:w="80" w:type="dxa"/>
              <w:bottom w:w="75" w:type="dxa"/>
              <w:end w:w="80" w:type="dxa"/>
            </w:tcMar>
            <w:vAlign w:val="top"/>
          </w:tcPr>
          <w:p>
            <w:pPr>
              <w:spacing w:after="0"/>
            </w:pPr>
            <w:r>
              <w:rPr>
                <w:rFonts w:ascii="Arial" w:hAnsi="Arial"/>
                <w:b w:val="0"/>
                <w:sz w:val="15"/>
              </w:rPr>
              <w:t>43%</w:t>
            </w:r>
          </w:p>
        </w:tc>
        <w:tc>
          <w:tcPr>
            <w:tcW w:type="dxa" w:w="2268"/>
            <w:tcMar>
              <w:top w:w="75" w:type="dxa"/>
              <w:start w:w="80" w:type="dxa"/>
              <w:bottom w:w="75" w:type="dxa"/>
              <w:end w:w="80" w:type="dxa"/>
            </w:tcMar>
            <w:vAlign w:val="top"/>
          </w:tcPr>
          <w:p>
            <w:pPr>
              <w:spacing w:after="0"/>
            </w:pPr>
            <w:r>
              <w:rPr>
                <w:rFonts w:ascii="Arial" w:hAnsi="Arial"/>
                <w:b w:val="0"/>
                <w:sz w:val="15"/>
              </w:rPr>
              <w:t>£300</w:t>
            </w:r>
          </w:p>
        </w:tc>
        <w:tc>
          <w:tcPr>
            <w:tcW w:type="dxa" w:w="1928"/>
            <w:tcMar>
              <w:top w:w="75" w:type="dxa"/>
              <w:start w:w="80" w:type="dxa"/>
              <w:bottom w:w="75" w:type="dxa"/>
              <w:end w:w="80" w:type="dxa"/>
            </w:tcMar>
            <w:vAlign w:val="top"/>
          </w:tcPr>
          <w:p>
            <w:pPr>
              <w:spacing w:after="0"/>
            </w:pPr>
            <w:r>
              <w:rPr>
                <w:rFonts w:ascii="Arial" w:hAnsi="Arial"/>
                <w:b w:val="0"/>
                <w:sz w:val="15"/>
              </w:rPr>
              <w:t>£700</w:t>
            </w:r>
          </w:p>
        </w:tc>
        <w:tc>
          <w:tcPr>
            <w:tcW w:type="dxa" w:w="1587"/>
            <w:tcMar>
              <w:top w:w="75" w:type="dxa"/>
              <w:start w:w="80" w:type="dxa"/>
              <w:bottom w:w="75" w:type="dxa"/>
              <w:end w:w="80" w:type="dxa"/>
            </w:tcMar>
            <w:vAlign w:val="top"/>
          </w:tcPr>
          <w:p>
            <w:pPr>
              <w:spacing w:after="0"/>
            </w:pPr>
            <w:r>
              <w:rPr>
                <w:rFonts w:ascii="Arial" w:hAnsi="Arial"/>
                <w:b w:val="0"/>
                <w:sz w:val="15"/>
              </w:rPr>
              <w:t>£301</w:t>
            </w:r>
          </w:p>
        </w:tc>
      </w:tr>
      <w:tr>
        <w:tc>
          <w:tcPr>
            <w:tcW w:type="dxa" w:w="1417"/>
            <w:tcMar>
              <w:top w:w="75" w:type="dxa"/>
              <w:start w:w="80" w:type="dxa"/>
              <w:bottom w:w="75" w:type="dxa"/>
              <w:end w:w="80" w:type="dxa"/>
            </w:tcMar>
            <w:vAlign w:val="top"/>
          </w:tcPr>
          <w:p>
            <w:pPr>
              <w:spacing w:after="0"/>
            </w:pPr>
            <w:r>
              <w:rPr>
                <w:rFonts w:ascii="Arial" w:hAnsi="Arial"/>
                <w:b/>
                <w:sz w:val="15"/>
              </w:rPr>
              <w:t>100.08</w:t>
            </w:r>
          </w:p>
        </w:tc>
        <w:tc>
          <w:tcPr>
            <w:tcW w:type="dxa" w:w="1701"/>
            <w:tcMar>
              <w:top w:w="75" w:type="dxa"/>
              <w:start w:w="80" w:type="dxa"/>
              <w:bottom w:w="75" w:type="dxa"/>
              <w:end w:w="80" w:type="dxa"/>
            </w:tcMar>
            <w:vAlign w:val="top"/>
          </w:tcPr>
          <w:p>
            <w:pPr>
              <w:spacing w:after="0"/>
            </w:pPr>
            <w:r>
              <w:rPr>
                <w:rFonts w:ascii="Arial" w:hAnsi="Arial"/>
                <w:b w:val="0"/>
                <w:sz w:val="15"/>
              </w:rPr>
              <w:t>£1,600</w:t>
            </w:r>
          </w:p>
        </w:tc>
        <w:tc>
          <w:tcPr>
            <w:tcW w:type="dxa" w:w="1134"/>
            <w:tcMar>
              <w:top w:w="75" w:type="dxa"/>
              <w:start w:w="80" w:type="dxa"/>
              <w:bottom w:w="75" w:type="dxa"/>
              <w:end w:w="80" w:type="dxa"/>
            </w:tcMar>
            <w:vAlign w:val="top"/>
          </w:tcPr>
          <w:p>
            <w:pPr>
              <w:spacing w:after="0"/>
            </w:pPr>
            <w:r>
              <w:rPr>
                <w:rFonts w:ascii="Arial" w:hAnsi="Arial"/>
                <w:b w:val="0"/>
                <w:sz w:val="15"/>
              </w:rPr>
              <w:t>22%</w:t>
            </w:r>
          </w:p>
        </w:tc>
        <w:tc>
          <w:tcPr>
            <w:tcW w:type="dxa" w:w="2268"/>
            <w:tcMar>
              <w:top w:w="75" w:type="dxa"/>
              <w:start w:w="80" w:type="dxa"/>
              <w:bottom w:w="75" w:type="dxa"/>
              <w:end w:w="80" w:type="dxa"/>
            </w:tcMar>
            <w:vAlign w:val="top"/>
          </w:tcPr>
          <w:p>
            <w:pPr>
              <w:spacing w:after="0"/>
            </w:pPr>
            <w:r>
              <w:rPr>
                <w:rFonts w:ascii="Arial" w:hAnsi="Arial"/>
                <w:b w:val="0"/>
                <w:sz w:val="15"/>
              </w:rPr>
              <w:t>£350</w:t>
            </w:r>
          </w:p>
        </w:tc>
        <w:tc>
          <w:tcPr>
            <w:tcW w:type="dxa" w:w="1928"/>
            <w:tcMar>
              <w:top w:w="75" w:type="dxa"/>
              <w:start w:w="80" w:type="dxa"/>
              <w:bottom w:w="75" w:type="dxa"/>
              <w:end w:w="80" w:type="dxa"/>
            </w:tcMar>
            <w:vAlign w:val="top"/>
          </w:tcPr>
          <w:p>
            <w:pPr>
              <w:spacing w:after="0"/>
            </w:pPr>
            <w:r>
              <w:rPr>
                <w:rFonts w:ascii="Arial" w:hAnsi="Arial"/>
                <w:b w:val="0"/>
                <w:sz w:val="15"/>
              </w:rPr>
              <w:t>£1,250</w:t>
            </w:r>
          </w:p>
        </w:tc>
        <w:tc>
          <w:tcPr>
            <w:tcW w:type="dxa" w:w="1587"/>
            <w:tcMar>
              <w:top w:w="75" w:type="dxa"/>
              <w:start w:w="80" w:type="dxa"/>
              <w:bottom w:w="75" w:type="dxa"/>
              <w:end w:w="80" w:type="dxa"/>
            </w:tcMar>
            <w:vAlign w:val="top"/>
          </w:tcPr>
          <w:p>
            <w:pPr>
              <w:spacing w:after="0"/>
            </w:pPr>
            <w:r>
              <w:rPr>
                <w:rFonts w:ascii="Arial" w:hAnsi="Arial"/>
                <w:b w:val="0"/>
                <w:sz w:val="15"/>
              </w:rPr>
              <w:t>£275</w:t>
            </w:r>
          </w:p>
        </w:tc>
      </w:tr>
    </w:tbl>
    <w:p>
      <w:pPr>
        <w:spacing w:after="0"/>
      </w:pPr>
    </w:p>
    <w:p>
      <w:pPr>
        <w:keepNext w:val="0"/>
        <w:spacing w:after="100" w:line="252" w:lineRule="auto"/>
      </w:pPr>
      <w:r>
        <w:rPr>
          <w:rFonts w:ascii="Arial" w:hAnsi="Arial"/>
          <w:i w:val="0"/>
        </w:rPr>
        <w:t>Candidate B wins the simplified expected-value comparison even though A has the highest hit rate and C has the highest conditional edge. This is the core commercial intuition.</w:t>
      </w:r>
    </w:p>
    <w:p>
      <w:pPr>
        <w:pStyle w:val="Heading2"/>
        <w:keepNext/>
        <w:spacing w:before="160" w:after="100"/>
      </w:pPr>
      <w:r>
        <w:rPr>
          <w:rFonts w:ascii="Arial" w:hAnsi="Arial"/>
          <w:b/>
          <w:sz w:val="25"/>
        </w:rPr>
        <w:t>4.3 Swap units and DV01</w:t>
      </w:r>
    </w:p>
    <w:p>
      <w:pPr>
        <w:keepNext w:val="0"/>
        <w:spacing w:after="100" w:line="252" w:lineRule="auto"/>
      </w:pPr>
      <w:r>
        <w:rPr>
          <w:rFonts w:ascii="Arial" w:hAnsi="Arial"/>
          <w:i w:val="0"/>
        </w:rPr>
        <w:t>For a swap, raw rate spread must be translated into monetary value using sensitivity or full revaluation. If the trade has DV01 of £8,000 per bp and the dealer gains a 0.20 bp rate advantage under the correct sign convention, first-order gross edge is approximately £1,600. The same 0.20 bp on a different maturity/notional can have very different monetary value.</w:t>
      </w:r>
    </w:p>
    <w:p>
      <w:pPr>
        <w:keepLines/>
        <w:spacing w:before="60" w:after="80"/>
        <w:ind w:left="312" w:right="170"/>
        <w:jc w:val="center"/>
      </w:pPr>
      <w:r>
        <w:rPr>
          <w:rFonts w:ascii="Cambria Math" w:hAnsi="Cambria Math" w:eastAsia="Cambria Math" w:cs="Cambria Math"/>
          <w:sz w:val="21"/>
        </w:rPr>
        <w:t>first-order monetary edge ≈ quote_advantage_bp · DV01</w:t>
      </w:r>
    </w:p>
    <w:p>
      <w:pPr>
        <w:pStyle w:val="Heading2"/>
        <w:keepNext/>
        <w:spacing w:before="160" w:after="100"/>
      </w:pPr>
      <w:r>
        <w:rPr>
          <w:rFonts w:ascii="Arial" w:hAnsi="Arial"/>
          <w:b/>
          <w:sz w:val="25"/>
        </w:rPr>
        <w:t>4.4 Metrics that should be reported together</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18"/>
        <w:gridCol w:w="5018"/>
      </w:tblGrid>
      <w:tr>
        <w:trPr>
          <w:tblHeader w:val="true"/>
        </w:trPr>
        <w:tc>
          <w:tcPr>
            <w:tcW w:type="dxa" w:w="2381"/>
            <w:shd w:fill="D9E1F2"/>
            <w:tcMar>
              <w:top w:w="80" w:type="dxa"/>
              <w:start w:w="80" w:type="dxa"/>
              <w:bottom w:w="80" w:type="dxa"/>
              <w:end w:w="80" w:type="dxa"/>
            </w:tcMar>
            <w:vAlign w:val="center"/>
          </w:tcPr>
          <w:p>
            <w:pPr>
              <w:jc w:val="left"/>
            </w:pPr>
            <w:r>
              <w:rPr>
                <w:rFonts w:ascii="Arial" w:hAnsi="Arial"/>
                <w:b/>
                <w:sz w:val="15"/>
              </w:rPr>
              <w:t>Metric</w:t>
            </w:r>
          </w:p>
        </w:tc>
        <w:tc>
          <w:tcPr>
            <w:tcW w:type="dxa" w:w="7370"/>
            <w:shd w:fill="D9E1F2"/>
            <w:tcMar>
              <w:top w:w="80" w:type="dxa"/>
              <w:start w:w="80" w:type="dxa"/>
              <w:bottom w:w="80" w:type="dxa"/>
              <w:end w:w="80" w:type="dxa"/>
            </w:tcMar>
            <w:vAlign w:val="center"/>
          </w:tcPr>
          <w:p>
            <w:pPr>
              <w:jc w:val="left"/>
            </w:pPr>
            <w:r>
              <w:rPr>
                <w:rFonts w:ascii="Arial" w:hAnsi="Arial"/>
                <w:b/>
                <w:sz w:val="15"/>
              </w:rPr>
              <w:t>Definition / caution</w:t>
            </w:r>
          </w:p>
        </w:tc>
      </w:tr>
      <w:tr>
        <w:tc>
          <w:tcPr>
            <w:tcW w:type="dxa" w:w="2381"/>
            <w:tcMar>
              <w:top w:w="75" w:type="dxa"/>
              <w:start w:w="80" w:type="dxa"/>
              <w:bottom w:w="75" w:type="dxa"/>
              <w:end w:w="80" w:type="dxa"/>
            </w:tcMar>
            <w:vAlign w:val="top"/>
          </w:tcPr>
          <w:p>
            <w:pPr>
              <w:spacing w:after="0"/>
            </w:pPr>
            <w:r>
              <w:rPr>
                <w:rFonts w:ascii="Arial" w:hAnsi="Arial"/>
                <w:b/>
                <w:sz w:val="15"/>
              </w:rPr>
              <w:t>Hit rate</w:t>
            </w:r>
          </w:p>
        </w:tc>
        <w:tc>
          <w:tcPr>
            <w:tcW w:type="dxa" w:w="7370"/>
            <w:tcMar>
              <w:top w:w="75" w:type="dxa"/>
              <w:start w:w="80" w:type="dxa"/>
              <w:bottom w:w="75" w:type="dxa"/>
              <w:end w:w="80" w:type="dxa"/>
            </w:tcMar>
            <w:vAlign w:val="top"/>
          </w:tcPr>
          <w:p>
            <w:pPr>
              <w:spacing w:after="0"/>
            </w:pPr>
            <w:r>
              <w:rPr>
                <w:rFonts w:ascii="Arial" w:hAnsi="Arial"/>
                <w:b w:val="0"/>
                <w:sz w:val="15"/>
              </w:rPr>
              <w:t>Always state denominator: wins / eligible RFQs, wins / quoted RFQs, or wins conditional on client trading.</w:t>
            </w:r>
          </w:p>
        </w:tc>
      </w:tr>
      <w:tr>
        <w:tc>
          <w:tcPr>
            <w:tcW w:type="dxa" w:w="2381"/>
            <w:tcMar>
              <w:top w:w="75" w:type="dxa"/>
              <w:start w:w="80" w:type="dxa"/>
              <w:bottom w:w="75" w:type="dxa"/>
              <w:end w:w="80" w:type="dxa"/>
            </w:tcMar>
            <w:vAlign w:val="top"/>
          </w:tcPr>
          <w:p>
            <w:pPr>
              <w:spacing w:after="0"/>
            </w:pPr>
            <w:r>
              <w:rPr>
                <w:rFonts w:ascii="Arial" w:hAnsi="Arial"/>
                <w:b/>
                <w:sz w:val="15"/>
              </w:rPr>
              <w:t>Spread capture</w:t>
            </w:r>
          </w:p>
        </w:tc>
        <w:tc>
          <w:tcPr>
            <w:tcW w:type="dxa" w:w="7370"/>
            <w:tcMar>
              <w:top w:w="75" w:type="dxa"/>
              <w:start w:w="80" w:type="dxa"/>
              <w:bottom w:w="75" w:type="dxa"/>
              <w:end w:w="80" w:type="dxa"/>
            </w:tcMar>
            <w:vAlign w:val="top"/>
          </w:tcPr>
          <w:p>
            <w:pPr>
              <w:spacing w:after="0"/>
            </w:pPr>
            <w:r>
              <w:rPr>
                <w:rFonts w:ascii="Arial" w:hAnsi="Arial"/>
                <w:b w:val="0"/>
                <w:sz w:val="15"/>
              </w:rPr>
              <w:t>Define reference price, timestamp, side and whether it means quoted edge, realised hedge edge or marked P&amp;L.</w:t>
            </w:r>
          </w:p>
        </w:tc>
      </w:tr>
      <w:tr>
        <w:tc>
          <w:tcPr>
            <w:tcW w:type="dxa" w:w="2381"/>
            <w:tcMar>
              <w:top w:w="75" w:type="dxa"/>
              <w:start w:w="80" w:type="dxa"/>
              <w:bottom w:w="75" w:type="dxa"/>
              <w:end w:w="80" w:type="dxa"/>
            </w:tcMar>
            <w:vAlign w:val="top"/>
          </w:tcPr>
          <w:p>
            <w:pPr>
              <w:spacing w:after="0"/>
            </w:pPr>
            <w:r>
              <w:rPr>
                <w:rFonts w:ascii="Arial" w:hAnsi="Arial"/>
                <w:b/>
                <w:sz w:val="15"/>
              </w:rPr>
              <w:t>Markout</w:t>
            </w:r>
          </w:p>
        </w:tc>
        <w:tc>
          <w:tcPr>
            <w:tcW w:type="dxa" w:w="7370"/>
            <w:tcMar>
              <w:top w:w="75" w:type="dxa"/>
              <w:start w:w="80" w:type="dxa"/>
              <w:bottom w:w="75" w:type="dxa"/>
              <w:end w:w="80" w:type="dxa"/>
            </w:tcMar>
            <w:vAlign w:val="top"/>
          </w:tcPr>
          <w:p>
            <w:pPr>
              <w:spacing w:after="0"/>
            </w:pPr>
            <w:r>
              <w:rPr>
                <w:rFonts w:ascii="Arial" w:hAnsi="Arial"/>
                <w:b w:val="0"/>
                <w:sz w:val="15"/>
              </w:rPr>
              <w:t>Signed movement in a reference price after fill; diagnostic of adverse selection, not necessarily realised P&amp;L.</w:t>
            </w:r>
          </w:p>
        </w:tc>
      </w:tr>
      <w:tr>
        <w:tc>
          <w:tcPr>
            <w:tcW w:type="dxa" w:w="2381"/>
            <w:tcMar>
              <w:top w:w="75" w:type="dxa"/>
              <w:start w:w="80" w:type="dxa"/>
              <w:bottom w:w="75" w:type="dxa"/>
              <w:end w:w="80" w:type="dxa"/>
            </w:tcMar>
            <w:vAlign w:val="top"/>
          </w:tcPr>
          <w:p>
            <w:pPr>
              <w:spacing w:after="0"/>
            </w:pPr>
            <w:r>
              <w:rPr>
                <w:rFonts w:ascii="Arial" w:hAnsi="Arial"/>
                <w:b/>
                <w:sz w:val="15"/>
              </w:rPr>
              <w:t>Hedge cost</w:t>
            </w:r>
          </w:p>
        </w:tc>
        <w:tc>
          <w:tcPr>
            <w:tcW w:type="dxa" w:w="7370"/>
            <w:tcMar>
              <w:top w:w="75" w:type="dxa"/>
              <w:start w:w="80" w:type="dxa"/>
              <w:bottom w:w="75" w:type="dxa"/>
              <w:end w:w="80" w:type="dxa"/>
            </w:tcMar>
            <w:vAlign w:val="top"/>
          </w:tcPr>
          <w:p>
            <w:pPr>
              <w:spacing w:after="0"/>
            </w:pPr>
            <w:r>
              <w:rPr>
                <w:rFonts w:ascii="Arial" w:hAnsi="Arial"/>
                <w:b w:val="0"/>
                <w:sz w:val="15"/>
              </w:rPr>
              <w:t>Difference between client execution economics and actual hedge economics, under a defined benchmark.</w:t>
            </w:r>
          </w:p>
        </w:tc>
      </w:tr>
      <w:tr>
        <w:tc>
          <w:tcPr>
            <w:tcW w:type="dxa" w:w="2381"/>
            <w:tcMar>
              <w:top w:w="75" w:type="dxa"/>
              <w:start w:w="80" w:type="dxa"/>
              <w:bottom w:w="75" w:type="dxa"/>
              <w:end w:w="80" w:type="dxa"/>
            </w:tcMar>
            <w:vAlign w:val="top"/>
          </w:tcPr>
          <w:p>
            <w:pPr>
              <w:spacing w:after="0"/>
            </w:pPr>
            <w:r>
              <w:rPr>
                <w:rFonts w:ascii="Arial" w:hAnsi="Arial"/>
                <w:b/>
                <w:sz w:val="15"/>
              </w:rPr>
              <w:t>Net contribution</w:t>
            </w:r>
          </w:p>
        </w:tc>
        <w:tc>
          <w:tcPr>
            <w:tcW w:type="dxa" w:w="7370"/>
            <w:tcMar>
              <w:top w:w="75" w:type="dxa"/>
              <w:start w:w="80" w:type="dxa"/>
              <w:bottom w:w="75" w:type="dxa"/>
              <w:end w:w="80" w:type="dxa"/>
            </w:tcMar>
            <w:vAlign w:val="top"/>
          </w:tcPr>
          <w:p>
            <w:pPr>
              <w:spacing w:after="0"/>
            </w:pPr>
            <w:r>
              <w:rPr>
                <w:rFonts w:ascii="Arial" w:hAnsi="Arial"/>
                <w:b w:val="0"/>
                <w:sz w:val="15"/>
              </w:rPr>
              <w:t>Spread plus/minus hedge/fees/markout/inventory effects, reconciled to avoid double counting.</w:t>
            </w:r>
          </w:p>
        </w:tc>
      </w:tr>
      <w:tr>
        <w:tc>
          <w:tcPr>
            <w:tcW w:type="dxa" w:w="2381"/>
            <w:tcMar>
              <w:top w:w="75" w:type="dxa"/>
              <w:start w:w="80" w:type="dxa"/>
              <w:bottom w:w="75" w:type="dxa"/>
              <w:end w:w="80" w:type="dxa"/>
            </w:tcMar>
            <w:vAlign w:val="top"/>
          </w:tcPr>
          <w:p>
            <w:pPr>
              <w:spacing w:after="0"/>
            </w:pPr>
            <w:r>
              <w:rPr>
                <w:rFonts w:ascii="Arial" w:hAnsi="Arial"/>
                <w:b/>
                <w:sz w:val="15"/>
              </w:rPr>
              <w:t>Inventory risk</w:t>
            </w:r>
          </w:p>
        </w:tc>
        <w:tc>
          <w:tcPr>
            <w:tcW w:type="dxa" w:w="7370"/>
            <w:tcMar>
              <w:top w:w="75" w:type="dxa"/>
              <w:start w:w="80" w:type="dxa"/>
              <w:bottom w:w="75" w:type="dxa"/>
              <w:end w:w="80" w:type="dxa"/>
            </w:tcMar>
            <w:vAlign w:val="top"/>
          </w:tcPr>
          <w:p>
            <w:pPr>
              <w:spacing w:after="0"/>
            </w:pPr>
            <w:r>
              <w:rPr>
                <w:rFonts w:ascii="Arial" w:hAnsi="Arial"/>
                <w:b w:val="0"/>
                <w:sz w:val="15"/>
              </w:rPr>
              <w:t>Relevant sensitivities and concentrations, not just trade count or notional.</w:t>
            </w:r>
          </w:p>
        </w:tc>
      </w:tr>
      <w:tr>
        <w:tc>
          <w:tcPr>
            <w:tcW w:type="dxa" w:w="2381"/>
            <w:tcMar>
              <w:top w:w="75" w:type="dxa"/>
              <w:start w:w="80" w:type="dxa"/>
              <w:bottom w:w="75" w:type="dxa"/>
              <w:end w:w="80" w:type="dxa"/>
            </w:tcMar>
            <w:vAlign w:val="top"/>
          </w:tcPr>
          <w:p>
            <w:pPr>
              <w:spacing w:after="0"/>
            </w:pPr>
            <w:r>
              <w:rPr>
                <w:rFonts w:ascii="Arial" w:hAnsi="Arial"/>
                <w:b/>
                <w:sz w:val="15"/>
              </w:rPr>
              <w:t>Revenue / P&amp;L</w:t>
            </w:r>
          </w:p>
        </w:tc>
        <w:tc>
          <w:tcPr>
            <w:tcW w:type="dxa" w:w="7370"/>
            <w:tcMar>
              <w:top w:w="75" w:type="dxa"/>
              <w:start w:w="80" w:type="dxa"/>
              <w:bottom w:w="75" w:type="dxa"/>
              <w:end w:w="80" w:type="dxa"/>
            </w:tcMar>
            <w:vAlign w:val="top"/>
          </w:tcPr>
          <w:p>
            <w:pPr>
              <w:spacing w:after="0"/>
            </w:pPr>
            <w:r>
              <w:rPr>
                <w:rFonts w:ascii="Arial" w:hAnsi="Arial"/>
                <w:b w:val="0"/>
                <w:sz w:val="15"/>
              </w:rPr>
              <w:t>Desk accounting measure; may include internalisation, financing and inventory revaluation beyond one RFQ.</w:t>
            </w:r>
          </w:p>
        </w:tc>
      </w:tr>
    </w:tbl>
    <w:p>
      <w:pPr>
        <w:spacing w:after="0"/>
      </w:pPr>
    </w:p>
    <w:p>
      <w:pPr>
        <w:pStyle w:val="Heading2"/>
        <w:keepNext/>
        <w:spacing w:before="160" w:after="100"/>
      </w:pPr>
      <w:r>
        <w:rPr>
          <w:rFonts w:ascii="Arial" w:hAnsi="Arial"/>
          <w:b/>
          <w:sz w:val="25"/>
        </w:rPr>
        <w:t>4.5 Spread at a fixed hit rate</w:t>
      </w:r>
    </w:p>
    <w:p>
      <w:pPr>
        <w:keepNext w:val="0"/>
        <w:spacing w:after="100" w:line="252" w:lineRule="auto"/>
      </w:pPr>
      <w:r>
        <w:rPr>
          <w:rFonts w:ascii="Arial" w:hAnsi="Arial"/>
          <w:i w:val="0"/>
        </w:rPr>
        <w:t>Suppose Policy A and Policy B both achieve a 42% hit rate on a matched RFQ population. If B earns 0.18 bp more dealer edge per unit DV01 / equivalent monetary risk, that is more interpretable than comparing average spread when the two policies win very different mixes of RFQs. The comparison should be stratified or matched by product, size, client segment, liquidity and time period.</w:t>
      </w:r>
    </w:p>
    <w:p>
      <w:pPr>
        <w:pStyle w:val="Heading2"/>
        <w:keepNext/>
        <w:spacing w:before="160" w:after="100"/>
      </w:pPr>
      <w:r>
        <w:rPr>
          <w:rFonts w:ascii="Arial" w:hAnsi="Arial"/>
          <w:b/>
          <w:sz w:val="25"/>
        </w:rPr>
        <w:t>4.6 Markout horizons</w:t>
      </w:r>
    </w:p>
    <w:p>
      <w:pPr>
        <w:keepNext w:val="0"/>
        <w:spacing w:after="100" w:line="252" w:lineRule="auto"/>
      </w:pPr>
      <w:r>
        <w:rPr>
          <w:rFonts w:ascii="Arial" w:hAnsi="Arial"/>
          <w:i w:val="0"/>
        </w:rPr>
        <w:t>Use several horizons because they answer different questions. A 1-second markout can indicate immediate adverse selection. A 30-second or 60-second markout captures short-term information and hedge delay. Longer horizons increasingly mix in inventory management and general market movement. Always define the reference price source and dealer sign.</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1814"/>
            <w:shd w:fill="D9E1F2"/>
            <w:tcMar>
              <w:top w:w="80" w:type="dxa"/>
              <w:start w:w="80" w:type="dxa"/>
              <w:bottom w:w="80" w:type="dxa"/>
              <w:end w:w="80" w:type="dxa"/>
            </w:tcMar>
            <w:vAlign w:val="center"/>
          </w:tcPr>
          <w:p>
            <w:pPr>
              <w:jc w:val="left"/>
            </w:pPr>
            <w:r>
              <w:rPr>
                <w:rFonts w:ascii="Arial" w:hAnsi="Arial"/>
                <w:b/>
                <w:sz w:val="16"/>
              </w:rPr>
              <w:t>Horizon</w:t>
            </w:r>
          </w:p>
        </w:tc>
        <w:tc>
          <w:tcPr>
            <w:tcW w:type="dxa" w:w="2608"/>
            <w:shd w:fill="D9E1F2"/>
            <w:tcMar>
              <w:top w:w="80" w:type="dxa"/>
              <w:start w:w="80" w:type="dxa"/>
              <w:bottom w:w="80" w:type="dxa"/>
              <w:end w:w="80" w:type="dxa"/>
            </w:tcMar>
            <w:vAlign w:val="center"/>
          </w:tcPr>
          <w:p>
            <w:pPr>
              <w:jc w:val="left"/>
            </w:pPr>
            <w:r>
              <w:rPr>
                <w:rFonts w:ascii="Arial" w:hAnsi="Arial"/>
                <w:b/>
                <w:sz w:val="16"/>
              </w:rPr>
              <w:t>Illustrative dealer-signed markout</w:t>
            </w:r>
          </w:p>
        </w:tc>
        <w:tc>
          <w:tcPr>
            <w:tcW w:type="dxa" w:w="5329"/>
            <w:shd w:fill="D9E1F2"/>
            <w:tcMar>
              <w:top w:w="80" w:type="dxa"/>
              <w:start w:w="80" w:type="dxa"/>
              <w:bottom w:w="80" w:type="dxa"/>
              <w:end w:w="80" w:type="dxa"/>
            </w:tcMar>
            <w:vAlign w:val="center"/>
          </w:tcPr>
          <w:p>
            <w:pPr>
              <w:jc w:val="left"/>
            </w:pPr>
            <w:r>
              <w:rPr>
                <w:rFonts w:ascii="Arial" w:hAnsi="Arial"/>
                <w:b/>
                <w:sz w:val="16"/>
              </w:rPr>
              <w:t>Possible interpretation</w:t>
            </w:r>
          </w:p>
        </w:tc>
      </w:tr>
      <w:tr>
        <w:tc>
          <w:tcPr>
            <w:tcW w:type="dxa" w:w="1814"/>
            <w:tcMar>
              <w:top w:w="75" w:type="dxa"/>
              <w:start w:w="80" w:type="dxa"/>
              <w:bottom w:w="75" w:type="dxa"/>
              <w:end w:w="80" w:type="dxa"/>
            </w:tcMar>
            <w:vAlign w:val="top"/>
          </w:tcPr>
          <w:p>
            <w:pPr>
              <w:spacing w:after="0"/>
            </w:pPr>
            <w:r>
              <w:rPr>
                <w:rFonts w:ascii="Arial" w:hAnsi="Arial"/>
                <w:b/>
                <w:sz w:val="16"/>
              </w:rPr>
              <w:t>1s</w:t>
            </w:r>
          </w:p>
        </w:tc>
        <w:tc>
          <w:tcPr>
            <w:tcW w:type="dxa" w:w="2608"/>
            <w:tcMar>
              <w:top w:w="75" w:type="dxa"/>
              <w:start w:w="80" w:type="dxa"/>
              <w:bottom w:w="75" w:type="dxa"/>
              <w:end w:w="80" w:type="dxa"/>
            </w:tcMar>
            <w:vAlign w:val="top"/>
          </w:tcPr>
          <w:p>
            <w:pPr>
              <w:spacing w:after="0"/>
            </w:pPr>
            <w:r>
              <w:rPr>
                <w:rFonts w:ascii="Arial" w:hAnsi="Arial"/>
                <w:b w:val="0"/>
                <w:sz w:val="16"/>
              </w:rPr>
              <w:t>-0.06 bp</w:t>
            </w:r>
          </w:p>
        </w:tc>
        <w:tc>
          <w:tcPr>
            <w:tcW w:type="dxa" w:w="5329"/>
            <w:tcMar>
              <w:top w:w="75" w:type="dxa"/>
              <w:start w:w="80" w:type="dxa"/>
              <w:bottom w:w="75" w:type="dxa"/>
              <w:end w:w="80" w:type="dxa"/>
            </w:tcMar>
            <w:vAlign w:val="top"/>
          </w:tcPr>
          <w:p>
            <w:pPr>
              <w:spacing w:after="0"/>
            </w:pPr>
            <w:r>
              <w:rPr>
                <w:rFonts w:ascii="Arial" w:hAnsi="Arial"/>
                <w:b w:val="0"/>
                <w:sz w:val="16"/>
              </w:rPr>
              <w:t>Immediate adverse selection / stale quote.</w:t>
            </w:r>
          </w:p>
        </w:tc>
      </w:tr>
      <w:tr>
        <w:tc>
          <w:tcPr>
            <w:tcW w:type="dxa" w:w="1814"/>
            <w:tcMar>
              <w:top w:w="75" w:type="dxa"/>
              <w:start w:w="80" w:type="dxa"/>
              <w:bottom w:w="75" w:type="dxa"/>
              <w:end w:w="80" w:type="dxa"/>
            </w:tcMar>
            <w:vAlign w:val="top"/>
          </w:tcPr>
          <w:p>
            <w:pPr>
              <w:spacing w:after="0"/>
            </w:pPr>
            <w:r>
              <w:rPr>
                <w:rFonts w:ascii="Arial" w:hAnsi="Arial"/>
                <w:b/>
                <w:sz w:val="16"/>
              </w:rPr>
              <w:t>10s</w:t>
            </w:r>
          </w:p>
        </w:tc>
        <w:tc>
          <w:tcPr>
            <w:tcW w:type="dxa" w:w="2608"/>
            <w:tcMar>
              <w:top w:w="75" w:type="dxa"/>
              <w:start w:w="80" w:type="dxa"/>
              <w:bottom w:w="75" w:type="dxa"/>
              <w:end w:w="80" w:type="dxa"/>
            </w:tcMar>
            <w:vAlign w:val="top"/>
          </w:tcPr>
          <w:p>
            <w:pPr>
              <w:spacing w:after="0"/>
            </w:pPr>
            <w:r>
              <w:rPr>
                <w:rFonts w:ascii="Arial" w:hAnsi="Arial"/>
                <w:b w:val="0"/>
                <w:sz w:val="16"/>
              </w:rPr>
              <w:t>-0.11 bp</w:t>
            </w:r>
          </w:p>
        </w:tc>
        <w:tc>
          <w:tcPr>
            <w:tcW w:type="dxa" w:w="5329"/>
            <w:tcMar>
              <w:top w:w="75" w:type="dxa"/>
              <w:start w:w="80" w:type="dxa"/>
              <w:bottom w:w="75" w:type="dxa"/>
              <w:end w:w="80" w:type="dxa"/>
            </w:tcMar>
            <w:vAlign w:val="top"/>
          </w:tcPr>
          <w:p>
            <w:pPr>
              <w:spacing w:after="0"/>
            </w:pPr>
            <w:r>
              <w:rPr>
                <w:rFonts w:ascii="Arial" w:hAnsi="Arial"/>
                <w:b w:val="0"/>
                <w:sz w:val="16"/>
              </w:rPr>
              <w:t>Short information component.</w:t>
            </w:r>
          </w:p>
        </w:tc>
      </w:tr>
      <w:tr>
        <w:tc>
          <w:tcPr>
            <w:tcW w:type="dxa" w:w="1814"/>
            <w:tcMar>
              <w:top w:w="75" w:type="dxa"/>
              <w:start w:w="80" w:type="dxa"/>
              <w:bottom w:w="75" w:type="dxa"/>
              <w:end w:w="80" w:type="dxa"/>
            </w:tcMar>
            <w:vAlign w:val="top"/>
          </w:tcPr>
          <w:p>
            <w:pPr>
              <w:spacing w:after="0"/>
            </w:pPr>
            <w:r>
              <w:rPr>
                <w:rFonts w:ascii="Arial" w:hAnsi="Arial"/>
                <w:b/>
                <w:sz w:val="16"/>
              </w:rPr>
              <w:t>60s</w:t>
            </w:r>
          </w:p>
        </w:tc>
        <w:tc>
          <w:tcPr>
            <w:tcW w:type="dxa" w:w="2608"/>
            <w:tcMar>
              <w:top w:w="75" w:type="dxa"/>
              <w:start w:w="80" w:type="dxa"/>
              <w:bottom w:w="75" w:type="dxa"/>
              <w:end w:w="80" w:type="dxa"/>
            </w:tcMar>
            <w:vAlign w:val="top"/>
          </w:tcPr>
          <w:p>
            <w:pPr>
              <w:spacing w:after="0"/>
            </w:pPr>
            <w:r>
              <w:rPr>
                <w:rFonts w:ascii="Arial" w:hAnsi="Arial"/>
                <w:b w:val="0"/>
                <w:sz w:val="16"/>
              </w:rPr>
              <w:t>-0.14 bp</w:t>
            </w:r>
          </w:p>
        </w:tc>
        <w:tc>
          <w:tcPr>
            <w:tcW w:type="dxa" w:w="5329"/>
            <w:tcMar>
              <w:top w:w="75" w:type="dxa"/>
              <w:start w:w="80" w:type="dxa"/>
              <w:bottom w:w="75" w:type="dxa"/>
              <w:end w:w="80" w:type="dxa"/>
            </w:tcMar>
            <w:vAlign w:val="top"/>
          </w:tcPr>
          <w:p>
            <w:pPr>
              <w:spacing w:after="0"/>
            </w:pPr>
            <w:r>
              <w:rPr>
                <w:rFonts w:ascii="Arial" w:hAnsi="Arial"/>
                <w:b w:val="0"/>
                <w:sz w:val="16"/>
              </w:rPr>
              <w:t>Information plus hedge delay.</w:t>
            </w:r>
          </w:p>
        </w:tc>
      </w:tr>
      <w:tr>
        <w:tc>
          <w:tcPr>
            <w:tcW w:type="dxa" w:w="1814"/>
            <w:tcMar>
              <w:top w:w="75" w:type="dxa"/>
              <w:start w:w="80" w:type="dxa"/>
              <w:bottom w:w="75" w:type="dxa"/>
              <w:end w:w="80" w:type="dxa"/>
            </w:tcMar>
            <w:vAlign w:val="top"/>
          </w:tcPr>
          <w:p>
            <w:pPr>
              <w:spacing w:after="0"/>
            </w:pPr>
            <w:r>
              <w:rPr>
                <w:rFonts w:ascii="Arial" w:hAnsi="Arial"/>
                <w:b/>
                <w:sz w:val="16"/>
              </w:rPr>
              <w:t>5m</w:t>
            </w:r>
          </w:p>
        </w:tc>
        <w:tc>
          <w:tcPr>
            <w:tcW w:type="dxa" w:w="2608"/>
            <w:tcMar>
              <w:top w:w="75" w:type="dxa"/>
              <w:start w:w="80" w:type="dxa"/>
              <w:bottom w:w="75" w:type="dxa"/>
              <w:end w:w="80" w:type="dxa"/>
            </w:tcMar>
            <w:vAlign w:val="top"/>
          </w:tcPr>
          <w:p>
            <w:pPr>
              <w:spacing w:after="0"/>
            </w:pPr>
            <w:r>
              <w:rPr>
                <w:rFonts w:ascii="Arial" w:hAnsi="Arial"/>
                <w:b w:val="0"/>
                <w:sz w:val="16"/>
              </w:rPr>
              <w:t>-0.10 bp</w:t>
            </w:r>
          </w:p>
        </w:tc>
        <w:tc>
          <w:tcPr>
            <w:tcW w:type="dxa" w:w="5329"/>
            <w:tcMar>
              <w:top w:w="75" w:type="dxa"/>
              <w:start w:w="80" w:type="dxa"/>
              <w:bottom w:w="75" w:type="dxa"/>
              <w:end w:w="80" w:type="dxa"/>
            </w:tcMar>
            <w:vAlign w:val="top"/>
          </w:tcPr>
          <w:p>
            <w:pPr>
              <w:spacing w:after="0"/>
            </w:pPr>
            <w:r>
              <w:rPr>
                <w:rFonts w:ascii="Arial" w:hAnsi="Arial"/>
                <w:b w:val="0"/>
                <w:sz w:val="16"/>
              </w:rPr>
              <w:t>Longer horizon contaminated by inventory/market noise.</w:t>
            </w:r>
          </w:p>
        </w:tc>
      </w:tr>
    </w:tbl>
    <w:p>
      <w:pPr>
        <w:spacing w:after="0"/>
      </w:pPr>
    </w:p>
    <w:p>
      <w:pPr>
        <w:pStyle w:val="Heading2"/>
        <w:keepNext/>
        <w:spacing w:before="160" w:after="100"/>
      </w:pPr>
      <w:r>
        <w:rPr>
          <w:rFonts w:ascii="Arial" w:hAnsi="Arial"/>
          <w:b/>
          <w:sz w:val="25"/>
        </w:rPr>
        <w:t>4.7 Inventory-aware economics</w:t>
      </w:r>
    </w:p>
    <w:p>
      <w:pPr>
        <w:keepNext w:val="0"/>
        <w:spacing w:after="100" w:line="252" w:lineRule="auto"/>
      </w:pPr>
      <w:r>
        <w:rPr>
          <w:rFonts w:ascii="Arial" w:hAnsi="Arial"/>
          <w:i w:val="0"/>
        </w:rPr>
        <w:t>Inventory is the existing portfolio risk. A trade that reduces an unwanted position can be worth winning at a smaller standalone edge because it avoids an external hedge or reduces risk concentration. Conversely, a high-spread trade that increases an already concentrated risk may be unattractive.</w:t>
      </w:r>
    </w:p>
    <w:p>
      <w:pPr>
        <w:keepLines/>
        <w:spacing w:before="60" w:after="80"/>
        <w:ind w:left="312" w:right="170"/>
        <w:jc w:val="center"/>
      </w:pPr>
      <w:r>
        <w:rPr>
          <w:rFonts w:ascii="Cambria Math" w:hAnsi="Cambria Math" w:eastAsia="Cambria Math" w:cs="Cambria Math"/>
          <w:sz w:val="21"/>
        </w:rPr>
        <w:t>adjusted_value = standalone_EV − risk_penalty(new_inventory) + risk_relief(existing_inventory)</w:t>
      </w:r>
    </w:p>
    <w:p>
      <w:pPr>
        <w:keepNext w:val="0"/>
        <w:spacing w:after="100" w:line="252" w:lineRule="auto"/>
      </w:pPr>
      <w:r>
        <w:rPr>
          <w:rFonts w:ascii="Arial" w:hAnsi="Arial"/>
          <w:i w:val="0"/>
        </w:rPr>
        <w:t>For Rates, use DV01 / key-rate or curve risk rather than notional alone. For credit, spread sensitivity and concentration may matter. Any inventory state used by the model must have been available before the quote.</w:t>
      </w:r>
    </w:p>
    <w:p>
      <w:pPr>
        <w:pStyle w:val="Heading2"/>
        <w:keepNext/>
        <w:spacing w:before="160" w:after="100"/>
      </w:pPr>
      <w:r>
        <w:rPr>
          <w:rFonts w:ascii="Arial" w:hAnsi="Arial"/>
          <w:b/>
          <w:sz w:val="25"/>
        </w:rPr>
        <w:t>4.8 Illustrative portfolio-level result</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ILLUSTRATIVE RESULT</w:t>
            </w:r>
          </w:p>
          <w:p>
            <w:pPr>
              <w:spacing w:after="0"/>
            </w:pPr>
            <w:r>
              <w:rPr>
                <w:rFonts w:ascii="Arial" w:hAnsi="Arial"/>
                <w:sz w:val="18"/>
              </w:rPr>
              <w:t>The following is a plausible shadow/pilot outcome profile, not a historical claim.</w:t>
            </w:r>
          </w:p>
        </w:tc>
      </w:tr>
    </w:tbl>
    <w:p>
      <w:pPr>
        <w:spacing w:after="0"/>
      </w:pP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2665"/>
            <w:shd w:fill="D9E1F2"/>
            <w:tcMar>
              <w:top w:w="80" w:type="dxa"/>
              <w:start w:w="80" w:type="dxa"/>
              <w:bottom w:w="80" w:type="dxa"/>
              <w:end w:w="80" w:type="dxa"/>
            </w:tcMar>
            <w:vAlign w:val="center"/>
          </w:tcPr>
          <w:p>
            <w:pPr>
              <w:jc w:val="left"/>
            </w:pPr>
            <w:r>
              <w:rPr>
                <w:rFonts w:ascii="Arial" w:hAnsi="Arial"/>
                <w:b/>
                <w:sz w:val="14"/>
              </w:rPr>
              <w:t>Metric</w:t>
            </w:r>
          </w:p>
        </w:tc>
        <w:tc>
          <w:tcPr>
            <w:tcW w:type="dxa" w:w="2041"/>
            <w:shd w:fill="D9E1F2"/>
            <w:tcMar>
              <w:top w:w="80" w:type="dxa"/>
              <w:start w:w="80" w:type="dxa"/>
              <w:bottom w:w="80" w:type="dxa"/>
              <w:end w:w="80" w:type="dxa"/>
            </w:tcMar>
            <w:vAlign w:val="center"/>
          </w:tcPr>
          <w:p>
            <w:pPr>
              <w:jc w:val="left"/>
            </w:pPr>
            <w:r>
              <w:rPr>
                <w:rFonts w:ascii="Arial" w:hAnsi="Arial"/>
                <w:b/>
                <w:sz w:val="14"/>
              </w:rPr>
              <w:t>Reference policy</w:t>
            </w:r>
          </w:p>
        </w:tc>
        <w:tc>
          <w:tcPr>
            <w:tcW w:type="dxa" w:w="2268"/>
            <w:shd w:fill="D9E1F2"/>
            <w:tcMar>
              <w:top w:w="80" w:type="dxa"/>
              <w:start w:w="80" w:type="dxa"/>
              <w:bottom w:w="80" w:type="dxa"/>
              <w:end w:w="80" w:type="dxa"/>
            </w:tcMar>
            <w:vAlign w:val="center"/>
          </w:tcPr>
          <w:p>
            <w:pPr>
              <w:jc w:val="left"/>
            </w:pPr>
            <w:r>
              <w:rPr>
                <w:rFonts w:ascii="Arial" w:hAnsi="Arial"/>
                <w:b/>
                <w:sz w:val="14"/>
              </w:rPr>
              <w:t>Inventory-aware policy</w:t>
            </w:r>
          </w:p>
        </w:tc>
        <w:tc>
          <w:tcPr>
            <w:tcW w:type="dxa" w:w="2778"/>
            <w:shd w:fill="D9E1F2"/>
            <w:tcMar>
              <w:top w:w="80" w:type="dxa"/>
              <w:start w:w="80" w:type="dxa"/>
              <w:bottom w:w="80" w:type="dxa"/>
              <w:end w:w="80" w:type="dxa"/>
            </w:tcMar>
            <w:vAlign w:val="center"/>
          </w:tcPr>
          <w:p>
            <w:pPr>
              <w:jc w:val="left"/>
            </w:pPr>
            <w:r>
              <w:rPr>
                <w:rFonts w:ascii="Arial" w:hAnsi="Arial"/>
                <w:b/>
                <w:sz w:val="14"/>
              </w:rPr>
              <w:t>Illustrative effect</w:t>
            </w:r>
          </w:p>
        </w:tc>
      </w:tr>
      <w:tr>
        <w:tc>
          <w:tcPr>
            <w:tcW w:type="dxa" w:w="2665"/>
            <w:tcMar>
              <w:top w:w="75" w:type="dxa"/>
              <w:start w:w="80" w:type="dxa"/>
              <w:bottom w:w="75" w:type="dxa"/>
              <w:end w:w="80" w:type="dxa"/>
            </w:tcMar>
            <w:vAlign w:val="top"/>
          </w:tcPr>
          <w:p>
            <w:pPr>
              <w:spacing w:after="0"/>
            </w:pPr>
            <w:r>
              <w:rPr>
                <w:rFonts w:ascii="Arial" w:hAnsi="Arial"/>
                <w:b/>
                <w:sz w:val="14"/>
              </w:rPr>
              <w:t>Eligible RFQ hit rate</w:t>
            </w:r>
          </w:p>
        </w:tc>
        <w:tc>
          <w:tcPr>
            <w:tcW w:type="dxa" w:w="2041"/>
            <w:tcMar>
              <w:top w:w="75" w:type="dxa"/>
              <w:start w:w="80" w:type="dxa"/>
              <w:bottom w:w="75" w:type="dxa"/>
              <w:end w:w="80" w:type="dxa"/>
            </w:tcMar>
            <w:vAlign w:val="top"/>
          </w:tcPr>
          <w:p>
            <w:pPr>
              <w:spacing w:after="0"/>
            </w:pPr>
            <w:r>
              <w:rPr>
                <w:rFonts w:ascii="Arial" w:hAnsi="Arial"/>
                <w:b w:val="0"/>
                <w:sz w:val="14"/>
              </w:rPr>
              <w:t>42.0%</w:t>
            </w:r>
          </w:p>
        </w:tc>
        <w:tc>
          <w:tcPr>
            <w:tcW w:type="dxa" w:w="2268"/>
            <w:tcMar>
              <w:top w:w="75" w:type="dxa"/>
              <w:start w:w="80" w:type="dxa"/>
              <w:bottom w:w="75" w:type="dxa"/>
              <w:end w:w="80" w:type="dxa"/>
            </w:tcMar>
            <w:vAlign w:val="top"/>
          </w:tcPr>
          <w:p>
            <w:pPr>
              <w:spacing w:after="0"/>
            </w:pPr>
            <w:r>
              <w:rPr>
                <w:rFonts w:ascii="Arial" w:hAnsi="Arial"/>
                <w:b w:val="0"/>
                <w:sz w:val="14"/>
              </w:rPr>
              <w:t>41.8%</w:t>
            </w:r>
          </w:p>
        </w:tc>
        <w:tc>
          <w:tcPr>
            <w:tcW w:type="dxa" w:w="2778"/>
            <w:tcMar>
              <w:top w:w="75" w:type="dxa"/>
              <w:start w:w="80" w:type="dxa"/>
              <w:bottom w:w="75" w:type="dxa"/>
              <w:end w:w="80" w:type="dxa"/>
            </w:tcMar>
            <w:vAlign w:val="top"/>
          </w:tcPr>
          <w:p>
            <w:pPr>
              <w:spacing w:after="0"/>
            </w:pPr>
            <w:r>
              <w:rPr>
                <w:rFonts w:ascii="Arial" w:hAnsi="Arial"/>
                <w:b w:val="0"/>
                <w:sz w:val="14"/>
              </w:rPr>
              <w:t>Essentially flat</w:t>
            </w:r>
          </w:p>
        </w:tc>
      </w:tr>
      <w:tr>
        <w:tc>
          <w:tcPr>
            <w:tcW w:type="dxa" w:w="2665"/>
            <w:tcMar>
              <w:top w:w="75" w:type="dxa"/>
              <w:start w:w="80" w:type="dxa"/>
              <w:bottom w:w="75" w:type="dxa"/>
              <w:end w:w="80" w:type="dxa"/>
            </w:tcMar>
            <w:vAlign w:val="top"/>
          </w:tcPr>
          <w:p>
            <w:pPr>
              <w:spacing w:after="0"/>
            </w:pPr>
            <w:r>
              <w:rPr>
                <w:rFonts w:ascii="Arial" w:hAnsi="Arial"/>
                <w:b/>
                <w:sz w:val="14"/>
              </w:rPr>
              <w:t>Net contribution / eligible RFQ</w:t>
            </w:r>
          </w:p>
        </w:tc>
        <w:tc>
          <w:tcPr>
            <w:tcW w:type="dxa" w:w="2041"/>
            <w:tcMar>
              <w:top w:w="75" w:type="dxa"/>
              <w:start w:w="80" w:type="dxa"/>
              <w:bottom w:w="75" w:type="dxa"/>
              <w:end w:w="80" w:type="dxa"/>
            </w:tcMar>
            <w:vAlign w:val="top"/>
          </w:tcPr>
          <w:p>
            <w:pPr>
              <w:spacing w:after="0"/>
            </w:pPr>
            <w:r>
              <w:rPr>
                <w:rFonts w:ascii="Arial" w:hAnsi="Arial"/>
                <w:b w:val="0"/>
                <w:sz w:val="14"/>
              </w:rPr>
              <w:t>£235</w:t>
            </w:r>
          </w:p>
        </w:tc>
        <w:tc>
          <w:tcPr>
            <w:tcW w:type="dxa" w:w="2268"/>
            <w:tcMar>
              <w:top w:w="75" w:type="dxa"/>
              <w:start w:w="80" w:type="dxa"/>
              <w:bottom w:w="75" w:type="dxa"/>
              <w:end w:w="80" w:type="dxa"/>
            </w:tcMar>
            <w:vAlign w:val="top"/>
          </w:tcPr>
          <w:p>
            <w:pPr>
              <w:spacing w:after="0"/>
            </w:pPr>
            <w:r>
              <w:rPr>
                <w:rFonts w:ascii="Arial" w:hAnsi="Arial"/>
                <w:b w:val="0"/>
                <w:sz w:val="14"/>
              </w:rPr>
              <w:t>£246</w:t>
            </w:r>
          </w:p>
        </w:tc>
        <w:tc>
          <w:tcPr>
            <w:tcW w:type="dxa" w:w="2778"/>
            <w:tcMar>
              <w:top w:w="75" w:type="dxa"/>
              <w:start w:w="80" w:type="dxa"/>
              <w:bottom w:w="75" w:type="dxa"/>
              <w:end w:w="80" w:type="dxa"/>
            </w:tcMar>
            <w:vAlign w:val="top"/>
          </w:tcPr>
          <w:p>
            <w:pPr>
              <w:spacing w:after="0"/>
            </w:pPr>
            <w:r>
              <w:rPr>
                <w:rFonts w:ascii="Arial" w:hAnsi="Arial"/>
                <w:b w:val="0"/>
                <w:sz w:val="14"/>
              </w:rPr>
              <w:t>+4.7%</w:t>
            </w:r>
          </w:p>
        </w:tc>
      </w:tr>
      <w:tr>
        <w:tc>
          <w:tcPr>
            <w:tcW w:type="dxa" w:w="2665"/>
            <w:tcMar>
              <w:top w:w="75" w:type="dxa"/>
              <w:start w:w="80" w:type="dxa"/>
              <w:bottom w:w="75" w:type="dxa"/>
              <w:end w:w="80" w:type="dxa"/>
            </w:tcMar>
            <w:vAlign w:val="top"/>
          </w:tcPr>
          <w:p>
            <w:pPr>
              <w:spacing w:after="0"/>
            </w:pPr>
            <w:r>
              <w:rPr>
                <w:rFonts w:ascii="Arial" w:hAnsi="Arial"/>
                <w:b/>
                <w:sz w:val="14"/>
              </w:rPr>
              <w:t>Net contribution / won RFQ</w:t>
            </w:r>
          </w:p>
        </w:tc>
        <w:tc>
          <w:tcPr>
            <w:tcW w:type="dxa" w:w="2041"/>
            <w:tcMar>
              <w:top w:w="75" w:type="dxa"/>
              <w:start w:w="80" w:type="dxa"/>
              <w:bottom w:w="75" w:type="dxa"/>
              <w:end w:w="80" w:type="dxa"/>
            </w:tcMar>
            <w:vAlign w:val="top"/>
          </w:tcPr>
          <w:p>
            <w:pPr>
              <w:spacing w:after="0"/>
            </w:pPr>
            <w:r>
              <w:rPr>
                <w:rFonts w:ascii="Arial" w:hAnsi="Arial"/>
                <w:b w:val="0"/>
                <w:sz w:val="14"/>
              </w:rPr>
              <w:t>£560</w:t>
            </w:r>
          </w:p>
        </w:tc>
        <w:tc>
          <w:tcPr>
            <w:tcW w:type="dxa" w:w="2268"/>
            <w:tcMar>
              <w:top w:w="75" w:type="dxa"/>
              <w:start w:w="80" w:type="dxa"/>
              <w:bottom w:w="75" w:type="dxa"/>
              <w:end w:w="80" w:type="dxa"/>
            </w:tcMar>
            <w:vAlign w:val="top"/>
          </w:tcPr>
          <w:p>
            <w:pPr>
              <w:spacing w:after="0"/>
            </w:pPr>
            <w:r>
              <w:rPr>
                <w:rFonts w:ascii="Arial" w:hAnsi="Arial"/>
                <w:b w:val="0"/>
                <w:sz w:val="14"/>
              </w:rPr>
              <w:t>£588</w:t>
            </w:r>
          </w:p>
        </w:tc>
        <w:tc>
          <w:tcPr>
            <w:tcW w:type="dxa" w:w="2778"/>
            <w:tcMar>
              <w:top w:w="75" w:type="dxa"/>
              <w:start w:w="80" w:type="dxa"/>
              <w:bottom w:w="75" w:type="dxa"/>
              <w:end w:w="80" w:type="dxa"/>
            </w:tcMar>
            <w:vAlign w:val="top"/>
          </w:tcPr>
          <w:p>
            <w:pPr>
              <w:spacing w:after="0"/>
            </w:pPr>
            <w:r>
              <w:rPr>
                <w:rFonts w:ascii="Arial" w:hAnsi="Arial"/>
                <w:b w:val="0"/>
                <w:sz w:val="14"/>
              </w:rPr>
              <w:t>+5.0%</w:t>
            </w:r>
          </w:p>
        </w:tc>
      </w:tr>
      <w:tr>
        <w:tc>
          <w:tcPr>
            <w:tcW w:type="dxa" w:w="2665"/>
            <w:tcMar>
              <w:top w:w="75" w:type="dxa"/>
              <w:start w:w="80" w:type="dxa"/>
              <w:bottom w:w="75" w:type="dxa"/>
              <w:end w:w="80" w:type="dxa"/>
            </w:tcMar>
            <w:vAlign w:val="top"/>
          </w:tcPr>
          <w:p>
            <w:pPr>
              <w:spacing w:after="0"/>
            </w:pPr>
            <w:r>
              <w:rPr>
                <w:rFonts w:ascii="Arial" w:hAnsi="Arial"/>
                <w:b/>
                <w:sz w:val="14"/>
              </w:rPr>
              <w:t>60s adverse markout</w:t>
            </w:r>
          </w:p>
        </w:tc>
        <w:tc>
          <w:tcPr>
            <w:tcW w:type="dxa" w:w="2041"/>
            <w:tcMar>
              <w:top w:w="75" w:type="dxa"/>
              <w:start w:w="80" w:type="dxa"/>
              <w:bottom w:w="75" w:type="dxa"/>
              <w:end w:w="80" w:type="dxa"/>
            </w:tcMar>
            <w:vAlign w:val="top"/>
          </w:tcPr>
          <w:p>
            <w:pPr>
              <w:spacing w:after="0"/>
            </w:pPr>
            <w:r>
              <w:rPr>
                <w:rFonts w:ascii="Arial" w:hAnsi="Arial"/>
                <w:b w:val="0"/>
                <w:sz w:val="14"/>
              </w:rPr>
              <w:t>-0.15 bp</w:t>
            </w:r>
          </w:p>
        </w:tc>
        <w:tc>
          <w:tcPr>
            <w:tcW w:type="dxa" w:w="2268"/>
            <w:tcMar>
              <w:top w:w="75" w:type="dxa"/>
              <w:start w:w="80" w:type="dxa"/>
              <w:bottom w:w="75" w:type="dxa"/>
              <w:end w:w="80" w:type="dxa"/>
            </w:tcMar>
            <w:vAlign w:val="top"/>
          </w:tcPr>
          <w:p>
            <w:pPr>
              <w:spacing w:after="0"/>
            </w:pPr>
            <w:r>
              <w:rPr>
                <w:rFonts w:ascii="Arial" w:hAnsi="Arial"/>
                <w:b w:val="0"/>
                <w:sz w:val="14"/>
              </w:rPr>
              <w:t>-0.12 bp</w:t>
            </w:r>
          </w:p>
        </w:tc>
        <w:tc>
          <w:tcPr>
            <w:tcW w:type="dxa" w:w="2778"/>
            <w:tcMar>
              <w:top w:w="75" w:type="dxa"/>
              <w:start w:w="80" w:type="dxa"/>
              <w:bottom w:w="75" w:type="dxa"/>
              <w:end w:w="80" w:type="dxa"/>
            </w:tcMar>
            <w:vAlign w:val="top"/>
          </w:tcPr>
          <w:p>
            <w:pPr>
              <w:spacing w:after="0"/>
            </w:pPr>
            <w:r>
              <w:rPr>
                <w:rFonts w:ascii="Arial" w:hAnsi="Arial"/>
                <w:b w:val="0"/>
                <w:sz w:val="14"/>
              </w:rPr>
              <w:t>20% less adverse</w:t>
            </w:r>
          </w:p>
        </w:tc>
      </w:tr>
      <w:tr>
        <w:tc>
          <w:tcPr>
            <w:tcW w:type="dxa" w:w="2665"/>
            <w:tcMar>
              <w:top w:w="75" w:type="dxa"/>
              <w:start w:w="80" w:type="dxa"/>
              <w:bottom w:w="75" w:type="dxa"/>
              <w:end w:w="80" w:type="dxa"/>
            </w:tcMar>
            <w:vAlign w:val="top"/>
          </w:tcPr>
          <w:p>
            <w:pPr>
              <w:spacing w:after="0"/>
            </w:pPr>
            <w:r>
              <w:rPr>
                <w:rFonts w:ascii="Arial" w:hAnsi="Arial"/>
                <w:b/>
                <w:sz w:val="14"/>
              </w:rPr>
              <w:t>Absolute end-of-day DV01</w:t>
            </w:r>
          </w:p>
        </w:tc>
        <w:tc>
          <w:tcPr>
            <w:tcW w:type="dxa" w:w="2041"/>
            <w:tcMar>
              <w:top w:w="75" w:type="dxa"/>
              <w:start w:w="80" w:type="dxa"/>
              <w:bottom w:w="75" w:type="dxa"/>
              <w:end w:w="80" w:type="dxa"/>
            </w:tcMar>
            <w:vAlign w:val="top"/>
          </w:tcPr>
          <w:p>
            <w:pPr>
              <w:spacing w:after="0"/>
            </w:pPr>
            <w:r>
              <w:rPr>
                <w:rFonts w:ascii="Arial" w:hAnsi="Arial"/>
                <w:b w:val="0"/>
                <w:sz w:val="14"/>
              </w:rPr>
              <w:t>£1.00m/bp</w:t>
            </w:r>
          </w:p>
        </w:tc>
        <w:tc>
          <w:tcPr>
            <w:tcW w:type="dxa" w:w="2268"/>
            <w:tcMar>
              <w:top w:w="75" w:type="dxa"/>
              <w:start w:w="80" w:type="dxa"/>
              <w:bottom w:w="75" w:type="dxa"/>
              <w:end w:w="80" w:type="dxa"/>
            </w:tcMar>
            <w:vAlign w:val="top"/>
          </w:tcPr>
          <w:p>
            <w:pPr>
              <w:spacing w:after="0"/>
            </w:pPr>
            <w:r>
              <w:rPr>
                <w:rFonts w:ascii="Arial" w:hAnsi="Arial"/>
                <w:b w:val="0"/>
                <w:sz w:val="14"/>
              </w:rPr>
              <w:t>£0.88m/bp</w:t>
            </w:r>
          </w:p>
        </w:tc>
        <w:tc>
          <w:tcPr>
            <w:tcW w:type="dxa" w:w="2778"/>
            <w:tcMar>
              <w:top w:w="75" w:type="dxa"/>
              <w:start w:w="80" w:type="dxa"/>
              <w:bottom w:w="75" w:type="dxa"/>
              <w:end w:w="80" w:type="dxa"/>
            </w:tcMar>
            <w:vAlign w:val="top"/>
          </w:tcPr>
          <w:p>
            <w:pPr>
              <w:spacing w:after="0"/>
            </w:pPr>
            <w:r>
              <w:rPr>
                <w:rFonts w:ascii="Arial" w:hAnsi="Arial"/>
                <w:b w:val="0"/>
                <w:sz w:val="14"/>
              </w:rPr>
              <w:t>12% lower</w:t>
            </w:r>
          </w:p>
        </w:tc>
      </w:tr>
      <w:tr>
        <w:tc>
          <w:tcPr>
            <w:tcW w:type="dxa" w:w="2665"/>
            <w:tcMar>
              <w:top w:w="75" w:type="dxa"/>
              <w:start w:w="80" w:type="dxa"/>
              <w:bottom w:w="75" w:type="dxa"/>
              <w:end w:w="80" w:type="dxa"/>
            </w:tcMar>
            <w:vAlign w:val="top"/>
          </w:tcPr>
          <w:p>
            <w:pPr>
              <w:spacing w:after="0"/>
            </w:pPr>
            <w:r>
              <w:rPr>
                <w:rFonts w:ascii="Arial" w:hAnsi="Arial"/>
                <w:b/>
                <w:sz w:val="14"/>
              </w:rPr>
              <w:t>External hedge notional</w:t>
            </w:r>
          </w:p>
        </w:tc>
        <w:tc>
          <w:tcPr>
            <w:tcW w:type="dxa" w:w="2041"/>
            <w:tcMar>
              <w:top w:w="75" w:type="dxa"/>
              <w:start w:w="80" w:type="dxa"/>
              <w:bottom w:w="75" w:type="dxa"/>
              <w:end w:w="80" w:type="dxa"/>
            </w:tcMar>
            <w:vAlign w:val="top"/>
          </w:tcPr>
          <w:p>
            <w:pPr>
              <w:spacing w:after="0"/>
            </w:pPr>
            <w:r>
              <w:rPr>
                <w:rFonts w:ascii="Arial" w:hAnsi="Arial"/>
                <w:b w:val="0"/>
                <w:sz w:val="14"/>
              </w:rPr>
              <w:t>1.00x</w:t>
            </w:r>
          </w:p>
        </w:tc>
        <w:tc>
          <w:tcPr>
            <w:tcW w:type="dxa" w:w="2268"/>
            <w:tcMar>
              <w:top w:w="75" w:type="dxa"/>
              <w:start w:w="80" w:type="dxa"/>
              <w:bottom w:w="75" w:type="dxa"/>
              <w:end w:w="80" w:type="dxa"/>
            </w:tcMar>
            <w:vAlign w:val="top"/>
          </w:tcPr>
          <w:p>
            <w:pPr>
              <w:spacing w:after="0"/>
            </w:pPr>
            <w:r>
              <w:rPr>
                <w:rFonts w:ascii="Arial" w:hAnsi="Arial"/>
                <w:b w:val="0"/>
                <w:sz w:val="14"/>
              </w:rPr>
              <w:t>0.93x</w:t>
            </w:r>
          </w:p>
        </w:tc>
        <w:tc>
          <w:tcPr>
            <w:tcW w:type="dxa" w:w="2778"/>
            <w:tcMar>
              <w:top w:w="75" w:type="dxa"/>
              <w:start w:w="80" w:type="dxa"/>
              <w:bottom w:w="75" w:type="dxa"/>
              <w:end w:w="80" w:type="dxa"/>
            </w:tcMar>
            <w:vAlign w:val="top"/>
          </w:tcPr>
          <w:p>
            <w:pPr>
              <w:spacing w:after="0"/>
            </w:pPr>
            <w:r>
              <w:rPr>
                <w:rFonts w:ascii="Arial" w:hAnsi="Arial"/>
                <w:b w:val="0"/>
                <w:sz w:val="14"/>
              </w:rPr>
              <w:t>7% lower</w:t>
            </w:r>
          </w:p>
        </w:tc>
      </w:tr>
    </w:tbl>
    <w:p>
      <w:pPr>
        <w:spacing w:after="0"/>
      </w:pPr>
    </w:p>
    <w:p>
      <w:pPr>
        <w:keepNext w:val="0"/>
        <w:spacing w:after="100" w:line="252" w:lineRule="auto"/>
      </w:pPr>
      <w:r>
        <w:rPr>
          <w:rFonts w:ascii="Arial" w:hAnsi="Arial"/>
          <w:i w:val="0"/>
        </w:rPr>
        <w:t>The desirable story is not "we increased hit rate". It is "we held hit rate approximately constant while improving conditional economics and reducing unwanted inventory / hedge burden."</w:t>
      </w:r>
    </w:p>
    <w:p>
      <w:pPr>
        <w:pStyle w:val="Heading2"/>
        <w:keepNext/>
        <w:spacing w:before="160" w:after="100"/>
      </w:pPr>
      <w:r>
        <w:rPr>
          <w:rFonts w:ascii="Arial" w:hAnsi="Arial"/>
          <w:b/>
          <w:sz w:val="25"/>
        </w:rPr>
        <w:t>4.9 Attribution and reconciliation</w:t>
      </w:r>
    </w:p>
    <w:p>
      <w:pPr>
        <w:keepNext w:val="0"/>
        <w:spacing w:after="100" w:line="252" w:lineRule="auto"/>
      </w:pPr>
      <w:r>
        <w:rPr>
          <w:rFonts w:ascii="Arial" w:hAnsi="Arial"/>
          <w:i w:val="0"/>
        </w:rPr>
        <w:t>Research economics should reconcile to independently calculated desk measures. Differences can arise from timing, clean versus dirty price, accrued interest, end-of-day marks, hedge allocation, internalisation and funding. Never force a research measure to equal desk P&amp;L by silently changing definitions. Instead explain the bridge.</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18"/>
        <w:gridCol w:w="5018"/>
      </w:tblGrid>
      <w:tr>
        <w:trPr>
          <w:tblHeader w:val="true"/>
        </w:trPr>
        <w:tc>
          <w:tcPr>
            <w:tcW w:type="dxa" w:w="2835"/>
            <w:shd w:fill="D9E1F2"/>
            <w:tcMar>
              <w:top w:w="80" w:type="dxa"/>
              <w:start w:w="80" w:type="dxa"/>
              <w:bottom w:w="80" w:type="dxa"/>
              <w:end w:w="80" w:type="dxa"/>
            </w:tcMar>
            <w:vAlign w:val="center"/>
          </w:tcPr>
          <w:p>
            <w:pPr>
              <w:jc w:val="left"/>
            </w:pPr>
            <w:r>
              <w:rPr>
                <w:rFonts w:ascii="Arial" w:hAnsi="Arial"/>
                <w:b/>
                <w:sz w:val="16"/>
              </w:rPr>
              <w:t>Research component</w:t>
            </w:r>
          </w:p>
        </w:tc>
        <w:tc>
          <w:tcPr>
            <w:tcW w:type="dxa" w:w="6917"/>
            <w:shd w:fill="D9E1F2"/>
            <w:tcMar>
              <w:top w:w="80" w:type="dxa"/>
              <w:start w:w="80" w:type="dxa"/>
              <w:bottom w:w="80" w:type="dxa"/>
              <w:end w:w="80" w:type="dxa"/>
            </w:tcMar>
            <w:vAlign w:val="center"/>
          </w:tcPr>
          <w:p>
            <w:pPr>
              <w:jc w:val="left"/>
            </w:pPr>
            <w:r>
              <w:rPr>
                <w:rFonts w:ascii="Arial" w:hAnsi="Arial"/>
                <w:b/>
                <w:sz w:val="16"/>
              </w:rPr>
              <w:t>Potential desk-accounting bridge</w:t>
            </w:r>
          </w:p>
        </w:tc>
      </w:tr>
      <w:tr>
        <w:tc>
          <w:tcPr>
            <w:tcW w:type="dxa" w:w="2835"/>
            <w:tcMar>
              <w:top w:w="75" w:type="dxa"/>
              <w:start w:w="80" w:type="dxa"/>
              <w:bottom w:w="75" w:type="dxa"/>
              <w:end w:w="80" w:type="dxa"/>
            </w:tcMar>
            <w:vAlign w:val="top"/>
          </w:tcPr>
          <w:p>
            <w:pPr>
              <w:spacing w:after="0"/>
            </w:pPr>
            <w:r>
              <w:rPr>
                <w:rFonts w:ascii="Arial" w:hAnsi="Arial"/>
                <w:b/>
                <w:sz w:val="16"/>
              </w:rPr>
              <w:t>Quoted edge vs mid</w:t>
            </w:r>
          </w:p>
        </w:tc>
        <w:tc>
          <w:tcPr>
            <w:tcW w:type="dxa" w:w="6917"/>
            <w:tcMar>
              <w:top w:w="75" w:type="dxa"/>
              <w:start w:w="80" w:type="dxa"/>
              <w:bottom w:w="75" w:type="dxa"/>
              <w:end w:w="80" w:type="dxa"/>
            </w:tcMar>
            <w:vAlign w:val="top"/>
          </w:tcPr>
          <w:p>
            <w:pPr>
              <w:spacing w:after="0"/>
            </w:pPr>
            <w:r>
              <w:rPr>
                <w:rFonts w:ascii="Arial" w:hAnsi="Arial"/>
                <w:b w:val="0"/>
                <w:sz w:val="16"/>
              </w:rPr>
              <w:t>Reference mid may differ from official valuation mark.</w:t>
            </w:r>
          </w:p>
        </w:tc>
      </w:tr>
      <w:tr>
        <w:tc>
          <w:tcPr>
            <w:tcW w:type="dxa" w:w="2835"/>
            <w:tcMar>
              <w:top w:w="75" w:type="dxa"/>
              <w:start w:w="80" w:type="dxa"/>
              <w:bottom w:w="75" w:type="dxa"/>
              <w:end w:w="80" w:type="dxa"/>
            </w:tcMar>
            <w:vAlign w:val="top"/>
          </w:tcPr>
          <w:p>
            <w:pPr>
              <w:spacing w:after="0"/>
            </w:pPr>
            <w:r>
              <w:rPr>
                <w:rFonts w:ascii="Arial" w:hAnsi="Arial"/>
                <w:b/>
                <w:sz w:val="16"/>
              </w:rPr>
              <w:t>Hedge cost</w:t>
            </w:r>
          </w:p>
        </w:tc>
        <w:tc>
          <w:tcPr>
            <w:tcW w:type="dxa" w:w="6917"/>
            <w:tcMar>
              <w:top w:w="75" w:type="dxa"/>
              <w:start w:w="80" w:type="dxa"/>
              <w:bottom w:w="75" w:type="dxa"/>
              <w:end w:w="80" w:type="dxa"/>
            </w:tcMar>
            <w:vAlign w:val="top"/>
          </w:tcPr>
          <w:p>
            <w:pPr>
              <w:spacing w:after="0"/>
            </w:pPr>
            <w:r>
              <w:rPr>
                <w:rFonts w:ascii="Arial" w:hAnsi="Arial"/>
                <w:b w:val="0"/>
                <w:sz w:val="16"/>
              </w:rPr>
              <w:t>Hedge may be allocated at desk/book level rather than RFQ level.</w:t>
            </w:r>
          </w:p>
        </w:tc>
      </w:tr>
      <w:tr>
        <w:tc>
          <w:tcPr>
            <w:tcW w:type="dxa" w:w="2835"/>
            <w:tcMar>
              <w:top w:w="75" w:type="dxa"/>
              <w:start w:w="80" w:type="dxa"/>
              <w:bottom w:w="75" w:type="dxa"/>
              <w:end w:w="80" w:type="dxa"/>
            </w:tcMar>
            <w:vAlign w:val="top"/>
          </w:tcPr>
          <w:p>
            <w:pPr>
              <w:spacing w:after="0"/>
            </w:pPr>
            <w:r>
              <w:rPr>
                <w:rFonts w:ascii="Arial" w:hAnsi="Arial"/>
                <w:b/>
                <w:sz w:val="16"/>
              </w:rPr>
              <w:t>Markout</w:t>
            </w:r>
          </w:p>
        </w:tc>
        <w:tc>
          <w:tcPr>
            <w:tcW w:type="dxa" w:w="6917"/>
            <w:tcMar>
              <w:top w:w="75" w:type="dxa"/>
              <w:start w:w="80" w:type="dxa"/>
              <w:bottom w:w="75" w:type="dxa"/>
              <w:end w:w="80" w:type="dxa"/>
            </w:tcMar>
            <w:vAlign w:val="top"/>
          </w:tcPr>
          <w:p>
            <w:pPr>
              <w:spacing w:after="0"/>
            </w:pPr>
            <w:r>
              <w:rPr>
                <w:rFonts w:ascii="Arial" w:hAnsi="Arial"/>
                <w:b w:val="0"/>
                <w:sz w:val="16"/>
              </w:rPr>
              <w:t>Diagnostic only unless it corresponds to actual holding/hedge period.</w:t>
            </w:r>
          </w:p>
        </w:tc>
      </w:tr>
      <w:tr>
        <w:tc>
          <w:tcPr>
            <w:tcW w:type="dxa" w:w="2835"/>
            <w:tcMar>
              <w:top w:w="75" w:type="dxa"/>
              <w:start w:w="80" w:type="dxa"/>
              <w:bottom w:w="75" w:type="dxa"/>
              <w:end w:w="80" w:type="dxa"/>
            </w:tcMar>
            <w:vAlign w:val="top"/>
          </w:tcPr>
          <w:p>
            <w:pPr>
              <w:spacing w:after="0"/>
            </w:pPr>
            <w:r>
              <w:rPr>
                <w:rFonts w:ascii="Arial" w:hAnsi="Arial"/>
                <w:b/>
                <w:sz w:val="16"/>
              </w:rPr>
              <w:t>Inventory relief</w:t>
            </w:r>
          </w:p>
        </w:tc>
        <w:tc>
          <w:tcPr>
            <w:tcW w:type="dxa" w:w="6917"/>
            <w:tcMar>
              <w:top w:w="75" w:type="dxa"/>
              <w:start w:w="80" w:type="dxa"/>
              <w:bottom w:w="75" w:type="dxa"/>
              <w:end w:w="80" w:type="dxa"/>
            </w:tcMar>
            <w:vAlign w:val="top"/>
          </w:tcPr>
          <w:p>
            <w:pPr>
              <w:spacing w:after="0"/>
            </w:pPr>
            <w:r>
              <w:rPr>
                <w:rFonts w:ascii="Arial" w:hAnsi="Arial"/>
                <w:b w:val="0"/>
                <w:sz w:val="16"/>
              </w:rPr>
              <w:t>May appear later as lower hedge cost or risk usage, not immediate trade revenue.</w:t>
            </w:r>
          </w:p>
        </w:tc>
      </w:tr>
      <w:tr>
        <w:tc>
          <w:tcPr>
            <w:tcW w:type="dxa" w:w="2835"/>
            <w:tcMar>
              <w:top w:w="75" w:type="dxa"/>
              <w:start w:w="80" w:type="dxa"/>
              <w:bottom w:w="75" w:type="dxa"/>
              <w:end w:w="80" w:type="dxa"/>
            </w:tcMar>
            <w:vAlign w:val="top"/>
          </w:tcPr>
          <w:p>
            <w:pPr>
              <w:spacing w:after="0"/>
            </w:pPr>
            <w:r>
              <w:rPr>
                <w:rFonts w:ascii="Arial" w:hAnsi="Arial"/>
                <w:b/>
                <w:sz w:val="16"/>
              </w:rPr>
              <w:t>Fees/funding</w:t>
            </w:r>
          </w:p>
        </w:tc>
        <w:tc>
          <w:tcPr>
            <w:tcW w:type="dxa" w:w="6917"/>
            <w:tcMar>
              <w:top w:w="75" w:type="dxa"/>
              <w:start w:w="80" w:type="dxa"/>
              <w:bottom w:w="75" w:type="dxa"/>
              <w:end w:w="80" w:type="dxa"/>
            </w:tcMar>
            <w:vAlign w:val="top"/>
          </w:tcPr>
          <w:p>
            <w:pPr>
              <w:spacing w:after="0"/>
            </w:pPr>
            <w:r>
              <w:rPr>
                <w:rFonts w:ascii="Arial" w:hAnsi="Arial"/>
                <w:b w:val="0"/>
                <w:sz w:val="16"/>
              </w:rPr>
              <w:t>May be booked elsewhere or on a different timing basis.</w:t>
            </w:r>
          </w:p>
        </w:tc>
      </w:tr>
    </w:tbl>
    <w:p>
      <w:pPr>
        <w:spacing w:after="0"/>
      </w:pPr>
    </w:p>
    <w:p>
      <w:pPr>
        <w:pStyle w:val="Heading2"/>
        <w:keepNext/>
        <w:spacing w:before="160" w:after="100"/>
      </w:pPr>
      <w:r>
        <w:rPr>
          <w:rFonts w:ascii="Arial" w:hAnsi="Arial"/>
          <w:b/>
          <w:sz w:val="25"/>
        </w:rPr>
        <w:t>4.10 Counterfactual limitation</w:t>
      </w:r>
    </w:p>
    <w:p>
      <w:pPr>
        <w:keepNext w:val="0"/>
        <w:spacing w:after="100" w:line="252" w:lineRule="auto"/>
      </w:pPr>
      <w:r>
        <w:rPr>
          <w:rFonts w:ascii="Arial" w:hAnsi="Arial"/>
          <w:i w:val="0"/>
        </w:rPr>
        <w:t>The hardest problem is that we observe the result of the quote actually sent, not what would have happened under every alternative quote. Offline expected-value improvement is therefore a hypothesis about a new policy. It becomes persuasive when the quote changes remain within supported ranges, the response model is well calibrated, confounding is understood, and an approved controlled release confirms the result.</w:t>
      </w:r>
    </w:p>
    <w:p>
      <w:pPr>
        <w:pStyle w:val="Heading2"/>
        <w:keepNext/>
        <w:spacing w:before="160" w:after="100"/>
      </w:pPr>
      <w:r>
        <w:rPr>
          <w:rFonts w:ascii="Arial" w:hAnsi="Arial"/>
          <w:b/>
          <w:sz w:val="25"/>
        </w:rPr>
        <w:t>4.11 Main challenges</w:t>
      </w:r>
    </w:p>
    <w:p>
      <w:pPr>
        <w:pStyle w:val="ListBullet"/>
        <w:spacing w:after="50" w:line="247" w:lineRule="auto"/>
      </w:pPr>
      <w:r>
        <w:rPr>
          <w:rFonts w:ascii="Arial" w:hAnsi="Arial"/>
        </w:rPr>
        <w:t>Hit rate can be gamed by quoting only easy RFQs or giving away too much spread.</w:t>
      </w:r>
    </w:p>
    <w:p>
      <w:pPr>
        <w:pStyle w:val="ListBullet"/>
        <w:spacing w:after="50" w:line="247" w:lineRule="auto"/>
      </w:pPr>
      <w:r>
        <w:rPr>
          <w:rFonts w:ascii="Arial" w:hAnsi="Arial"/>
        </w:rPr>
        <w:t>Adverse selection can make the RFQs you win systematically worse than the ones you lose.</w:t>
      </w:r>
    </w:p>
    <w:p>
      <w:pPr>
        <w:pStyle w:val="ListBullet"/>
        <w:spacing w:after="50" w:line="247" w:lineRule="auto"/>
      </w:pPr>
      <w:r>
        <w:rPr>
          <w:rFonts w:ascii="Arial" w:hAnsi="Arial"/>
        </w:rPr>
        <w:t>P&amp;L attribution is sensitive to benchmark time and hedge allocation.</w:t>
      </w:r>
    </w:p>
    <w:p>
      <w:pPr>
        <w:pStyle w:val="ListBullet"/>
        <w:spacing w:after="50" w:line="247" w:lineRule="auto"/>
      </w:pPr>
      <w:r>
        <w:rPr>
          <w:rFonts w:ascii="Arial" w:hAnsi="Arial"/>
        </w:rPr>
        <w:t>Inventory creates portfolio interactions across trades; local RFQ optimisation can increase total risk.</w:t>
      </w:r>
    </w:p>
    <w:p>
      <w:pPr>
        <w:pStyle w:val="ListBullet"/>
        <w:spacing w:after="50" w:line="247" w:lineRule="auto"/>
      </w:pPr>
      <w:r>
        <w:rPr>
          <w:rFonts w:ascii="Arial" w:hAnsi="Arial"/>
        </w:rPr>
        <w:t>Observed historical quote-response curves are confounded by prior trader decisions.</w:t>
      </w:r>
    </w:p>
    <w:p>
      <w:pPr>
        <w:pStyle w:val="ListBullet"/>
        <w:spacing w:after="50" w:line="247" w:lineRule="auto"/>
      </w:pPr>
      <w:r>
        <w:rPr>
          <w:rFonts w:ascii="Arial" w:hAnsi="Arial"/>
        </w:rPr>
        <w:t>Cost components can be double counted when markout and hedge cost use overlapping intervals.</w:t>
      </w:r>
    </w:p>
    <w:p>
      <w:pPr>
        <w:pStyle w:val="Heading2"/>
        <w:keepNext/>
        <w:spacing w:before="160" w:after="100"/>
      </w:pPr>
      <w:r>
        <w:rPr>
          <w:rFonts w:ascii="Arial" w:hAnsi="Arial"/>
          <w:b/>
          <w:sz w:val="25"/>
        </w:rPr>
        <w:t>4.12 What I would do differently today</w:t>
      </w:r>
    </w:p>
    <w:p>
      <w:pPr>
        <w:pStyle w:val="ListBullet"/>
        <w:spacing w:after="50" w:line="247" w:lineRule="auto"/>
      </w:pPr>
      <w:r>
        <w:rPr>
          <w:rFonts w:ascii="Arial" w:hAnsi="Arial"/>
        </w:rPr>
        <w:t>Design the system as an explicitly logged decision policy from day one: candidate actions, propensities, chosen action, constraints and outcomes.</w:t>
      </w:r>
    </w:p>
    <w:p>
      <w:pPr>
        <w:pStyle w:val="ListBullet"/>
        <w:spacing w:after="50" w:line="247" w:lineRule="auto"/>
      </w:pPr>
      <w:r>
        <w:rPr>
          <w:rFonts w:ascii="Arial" w:hAnsi="Arial"/>
        </w:rPr>
        <w:t>Use bounded contextual-bandit / experimentation methods only where risk and governance allow, to learn counterfactual price sensitivity safely.</w:t>
      </w:r>
    </w:p>
    <w:p>
      <w:pPr>
        <w:pStyle w:val="ListBullet"/>
        <w:spacing w:after="50" w:line="247" w:lineRule="auto"/>
      </w:pPr>
      <w:r>
        <w:rPr>
          <w:rFonts w:ascii="Arial" w:hAnsi="Arial"/>
        </w:rPr>
        <w:t>Jointly model expected fill economics and uncertainty rather than optimising the probability point estimate alone.</w:t>
      </w:r>
    </w:p>
    <w:p>
      <w:pPr>
        <w:pStyle w:val="ListBullet"/>
        <w:spacing w:after="50" w:line="247" w:lineRule="auto"/>
      </w:pPr>
      <w:r>
        <w:rPr>
          <w:rFonts w:ascii="Arial" w:hAnsi="Arial"/>
        </w:rPr>
        <w:t>Use a portfolio-aware risk state and separate risk-relief value from direct transaction spread.</w:t>
      </w:r>
    </w:p>
    <w:p>
      <w:pPr>
        <w:pStyle w:val="ListBullet"/>
        <w:spacing w:after="50" w:line="247" w:lineRule="auto"/>
      </w:pPr>
      <w:r>
        <w:rPr>
          <w:rFonts w:ascii="Arial" w:hAnsi="Arial"/>
        </w:rPr>
        <w:t>Build automated P&amp;L reconciliation between research and desk-accounting conventions.</w:t>
      </w:r>
    </w:p>
    <w:p>
      <w:pPr>
        <w:pStyle w:val="Heading2"/>
        <w:keepNext/>
        <w:spacing w:before="160" w:after="100"/>
      </w:pPr>
      <w:r>
        <w:rPr>
          <w:rFonts w:ascii="Arial" w:hAnsi="Arial"/>
          <w:b/>
          <w:sz w:val="25"/>
        </w:rPr>
        <w:t>4.13 Interview defence</w:t>
      </w:r>
    </w:p>
    <w:p>
      <w:pPr>
        <w:spacing w:after="40"/>
      </w:pPr>
      <w:r>
        <w:rPr>
          <w:rFonts w:ascii="Arial" w:hAnsi="Arial"/>
          <w:b/>
          <w:sz w:val="18"/>
        </w:rPr>
        <w:t>Q: Why can a high-hit-rate model lose money?</w:t>
      </w:r>
    </w:p>
    <w:p>
      <w:pPr>
        <w:spacing w:after="100"/>
        <w:ind w:left="227"/>
      </w:pPr>
      <w:r>
        <w:rPr>
          <w:rFonts w:ascii="Arial" w:hAnsi="Arial"/>
          <w:sz w:val="18"/>
        </w:rPr>
        <w:t>A: Because it may win by offering too much concession or by winning the most informed / adverse flow. Hit rate has to be considered jointly with conditional edge, hedge cost, markouts and inventory risk.</w:t>
      </w:r>
    </w:p>
    <w:p>
      <w:pPr>
        <w:spacing w:after="40"/>
      </w:pPr>
      <w:r>
        <w:rPr>
          <w:rFonts w:ascii="Arial" w:hAnsi="Arial"/>
          <w:b/>
          <w:sz w:val="18"/>
        </w:rPr>
        <w:t>Q: What do you mean by spread capture?</w:t>
      </w:r>
    </w:p>
    <w:p>
      <w:pPr>
        <w:spacing w:after="100"/>
        <w:ind w:left="227"/>
      </w:pPr>
      <w:r>
        <w:rPr>
          <w:rFonts w:ascii="Arial" w:hAnsi="Arial"/>
          <w:sz w:val="18"/>
        </w:rPr>
        <w:t>A: I would define the reference price and time, direction and unit, then say whether I mean quoted edge, realised hedge spread or marked contribution. Those are different measures.</w:t>
      </w:r>
    </w:p>
    <w:p>
      <w:pPr>
        <w:spacing w:after="40"/>
      </w:pPr>
      <w:r>
        <w:rPr>
          <w:rFonts w:ascii="Arial" w:hAnsi="Arial"/>
          <w:b/>
          <w:sz w:val="18"/>
        </w:rPr>
        <w:t>Q: How do you compare bonds and swaps?</w:t>
      </w:r>
    </w:p>
    <w:p>
      <w:pPr>
        <w:spacing w:after="100"/>
        <w:ind w:left="227"/>
      </w:pPr>
      <w:r>
        <w:rPr>
          <w:rFonts w:ascii="Arial" w:hAnsi="Arial"/>
          <w:sz w:val="18"/>
        </w:rPr>
        <w:t>A: Convert the quote into monetary contribution or risk-adjusted value. A bond price point can be scaled by nominal; a swap rate difference needs DV01 or full revaluation.</w:t>
      </w:r>
    </w:p>
    <w:p>
      <w:pPr>
        <w:spacing w:after="40"/>
      </w:pPr>
      <w:r>
        <w:rPr>
          <w:rFonts w:ascii="Arial" w:hAnsi="Arial"/>
          <w:b/>
          <w:sz w:val="18"/>
        </w:rPr>
        <w:t>Q: Is markout P&amp;L?</w:t>
      </w:r>
    </w:p>
    <w:p>
      <w:pPr>
        <w:spacing w:after="100"/>
        <w:ind w:left="227"/>
      </w:pPr>
      <w:r>
        <w:rPr>
          <w:rFonts w:ascii="Arial" w:hAnsi="Arial"/>
          <w:sz w:val="18"/>
        </w:rPr>
        <w:t>A: Not necessarily. It is a signed reference-price movement after fill. Realised P&amp;L depends on actual cash flows, hedging and the remaining inventory.</w:t>
      </w:r>
    </w:p>
    <w:p>
      <w:r>
        <w:br w:type="page"/>
      </w:r>
    </w:p>
    <w:p>
      <w:pPr>
        <w:pStyle w:val="Heading1"/>
        <w:keepNext/>
        <w:spacing w:before="240" w:after="100"/>
      </w:pPr>
      <w:r>
        <w:rPr>
          <w:rFonts w:ascii="Arial" w:hAnsi="Arial"/>
          <w:b/>
          <w:sz w:val="30"/>
        </w:rPr>
        <w:t>5. Broader Markets modelling</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CV CLAIM</w:t>
            </w:r>
          </w:p>
          <w:p>
            <w:pPr>
              <w:spacing w:after="0"/>
            </w:pPr>
            <w:r>
              <w:rPr>
                <w:rFonts w:ascii="Arial" w:hAnsi="Arial"/>
                <w:sz w:val="18"/>
              </w:rPr>
              <w:t>Worked across VaR/RNIV, portfolio revaluation, liquidity/capacity and forecasting using financial time series, ARMA/GARCH-style diagnostics, Monte Carlo simulation, scenario analysis and out-of-sample testing.</w:t>
            </w:r>
          </w:p>
        </w:tc>
      </w:tr>
    </w:tbl>
    <w:p>
      <w:pPr>
        <w:spacing w:after="0"/>
      </w:pP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IMPORTANT SCOPE</w:t>
            </w:r>
          </w:p>
          <w:p>
            <w:pPr>
              <w:spacing w:after="0"/>
            </w:pPr>
            <w:r>
              <w:rPr>
                <w:rFonts w:ascii="Arial" w:hAnsi="Arial"/>
                <w:sz w:val="18"/>
              </w:rPr>
              <w:t>This bullet should not be presented as one giant integrated model. It is an umbrella over several quantitative problem types. In interview, choose one or two concrete examples you genuinely remember and use the rest to demonstrate breadth.</w:t>
            </w:r>
          </w:p>
        </w:tc>
      </w:tr>
    </w:tbl>
    <w:p>
      <w:pPr>
        <w:spacing w:after="0"/>
      </w:pPr>
    </w:p>
    <w:p>
      <w:pPr>
        <w:pStyle w:val="Heading2"/>
        <w:keepNext/>
        <w:spacing w:before="160" w:after="100"/>
      </w:pPr>
      <w:r>
        <w:rPr>
          <w:rFonts w:ascii="Arial" w:hAnsi="Arial"/>
          <w:b/>
          <w:sz w:val="25"/>
        </w:rPr>
        <w:t>5.1 Example A - VaR and portfolio revaluation</w:t>
      </w:r>
    </w:p>
    <w:p>
      <w:pPr>
        <w:keepNext w:val="0"/>
        <w:spacing w:after="100" w:line="252" w:lineRule="auto"/>
      </w:pPr>
      <w:r>
        <w:rPr>
          <w:rFonts w:ascii="Arial" w:hAnsi="Arial"/>
          <w:i w:val="0"/>
        </w:rPr>
        <w:t>Hypothetical portfolio: a Rates/Credit book containing government bonds, corporate bonds, interest-rate swaps and a smaller option component. The risk question is: how large could a one-day loss be under a specified historical or simulated market-factor distribution, and where does a sensitivity approximation cease to be reliable?</w:t>
      </w:r>
    </w:p>
    <w:p>
      <w:pPr>
        <w:pStyle w:val="Heading3"/>
        <w:keepNext/>
        <w:spacing w:before="160" w:after="100"/>
      </w:pPr>
      <w:r>
        <w:rPr>
          <w:rFonts w:ascii="Arial" w:hAnsi="Arial"/>
          <w:b/>
          <w:sz w:val="21"/>
        </w:rPr>
        <w:t>5.1.1 Historical-simulation workflow</w:t>
      </w:r>
    </w:p>
    <w:p>
      <w:pPr>
        <w:spacing w:after="50"/>
        <w:ind w:left="312" w:hanging="255"/>
      </w:pPr>
      <w:r>
        <w:rPr>
          <w:rFonts w:ascii="Arial" w:hAnsi="Arial"/>
        </w:rPr>
        <w:t>1.  Take today's positions and market-state representation.</w:t>
      </w:r>
    </w:p>
    <w:p>
      <w:pPr>
        <w:spacing w:after="50"/>
        <w:ind w:left="312" w:hanging="255"/>
      </w:pPr>
      <w:r>
        <w:rPr>
          <w:rFonts w:ascii="Arial" w:hAnsi="Arial"/>
        </w:rPr>
        <w:t>2.  Construct historical one-day shocks to relevant curves, spreads, FX and vol surfaces from a fixed historical window.</w:t>
      </w:r>
    </w:p>
    <w:p>
      <w:pPr>
        <w:spacing w:after="50"/>
        <w:ind w:left="312" w:hanging="255"/>
      </w:pPr>
      <w:r>
        <w:rPr>
          <w:rFonts w:ascii="Arial" w:hAnsi="Arial"/>
        </w:rPr>
        <w:t>3.  Apply each shock to today's market state.</w:t>
      </w:r>
    </w:p>
    <w:p>
      <w:pPr>
        <w:spacing w:after="50"/>
        <w:ind w:left="312" w:hanging="255"/>
      </w:pPr>
      <w:r>
        <w:rPr>
          <w:rFonts w:ascii="Arial" w:hAnsi="Arial"/>
        </w:rPr>
        <w:t>4.  Revalue every position under each shocked state using either full revaluation or approved sensitivity approximations.</w:t>
      </w:r>
    </w:p>
    <w:p>
      <w:pPr>
        <w:spacing w:after="50"/>
        <w:ind w:left="312" w:hanging="255"/>
      </w:pPr>
      <w:r>
        <w:rPr>
          <w:rFonts w:ascii="Arial" w:hAnsi="Arial"/>
        </w:rPr>
        <w:t>5.  Aggregate P&amp;L in a common currency.</w:t>
      </w:r>
    </w:p>
    <w:p>
      <w:pPr>
        <w:spacing w:after="50"/>
        <w:ind w:left="312" w:hanging="255"/>
      </w:pPr>
      <w:r>
        <w:rPr>
          <w:rFonts w:ascii="Arial" w:hAnsi="Arial"/>
        </w:rPr>
        <w:t>6.  Estimate the loss quantile for VaR and the tail average for Expected Shortfall under the chosen definition.</w:t>
      </w:r>
    </w:p>
    <w:p>
      <w:pPr>
        <w:keepLines/>
        <w:spacing w:before="60" w:after="80"/>
        <w:ind w:left="312" w:right="170"/>
        <w:jc w:val="center"/>
      </w:pPr>
      <w:r>
        <w:rPr>
          <w:rFonts w:ascii="Cambria Math" w:hAnsi="Cambria Math" w:eastAsia="Cambria Math" w:cs="Cambria Math"/>
          <w:sz w:val="21"/>
        </w:rPr>
        <w:t>VaR₉₉ = 99th percentile of one-day loss distribution</w:t>
      </w:r>
    </w:p>
    <w:p>
      <w:pPr>
        <w:keepLines/>
        <w:spacing w:before="60" w:after="80"/>
        <w:ind w:left="312" w:right="170"/>
        <w:jc w:val="center"/>
      </w:pPr>
      <w:r>
        <w:rPr>
          <w:rFonts w:ascii="Cambria Math" w:hAnsi="Cambria Math" w:eastAsia="Cambria Math" w:cs="Cambria Math"/>
          <w:sz w:val="21"/>
        </w:rPr>
        <w:t>ES₉₇.₅ = average loss beyond the 97.5th percentile, under the stated convention</w:t>
      </w:r>
    </w:p>
    <w:p>
      <w:pPr>
        <w:pStyle w:val="Heading3"/>
        <w:keepNext/>
        <w:spacing w:before="160" w:after="100"/>
      </w:pPr>
      <w:r>
        <w:rPr>
          <w:rFonts w:ascii="Arial" w:hAnsi="Arial"/>
          <w:b/>
          <w:sz w:val="21"/>
        </w:rPr>
        <w:t>5.1.2 Full revaluation versus sensitivities</w:t>
      </w:r>
    </w:p>
    <w:p>
      <w:pPr>
        <w:keepNext w:val="0"/>
        <w:spacing w:after="100" w:line="252" w:lineRule="auto"/>
      </w:pPr>
      <w:r>
        <w:rPr>
          <w:rFonts w:ascii="Arial" w:hAnsi="Arial"/>
          <w:i w:val="0"/>
        </w:rPr>
        <w:t>A delta / DV01 approximation is fast and often accurate for small shocks and near-linear instruments. Full revaluation captures nonlinear pricing, optionality, curve interactions and state-dependent effects but is much more computationally expensive. A good engineering design uses sensitivity approximations where error is demonstrably acceptable and full revaluation for material nonlinear risks or benchmark validation.</w:t>
      </w:r>
    </w:p>
    <w:p>
      <w:pPr>
        <w:pStyle w:val="Heading3"/>
        <w:keepNext/>
        <w:spacing w:before="160" w:after="100"/>
      </w:pPr>
      <w:r>
        <w:rPr>
          <w:rFonts w:ascii="Arial" w:hAnsi="Arial"/>
          <w:b/>
          <w:sz w:val="21"/>
        </w:rPr>
        <w:t>5.1.3 Illustrative risk result</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2494"/>
            <w:shd w:fill="D9E1F2"/>
            <w:tcMar>
              <w:top w:w="80" w:type="dxa"/>
              <w:start w:w="80" w:type="dxa"/>
              <w:bottom w:w="80" w:type="dxa"/>
              <w:end w:w="80" w:type="dxa"/>
            </w:tcMar>
            <w:vAlign w:val="center"/>
          </w:tcPr>
          <w:p>
            <w:pPr>
              <w:jc w:val="left"/>
            </w:pPr>
            <w:r>
              <w:rPr>
                <w:rFonts w:ascii="Arial" w:hAnsi="Arial"/>
                <w:b/>
                <w:sz w:val="15"/>
              </w:rPr>
              <w:t>Metric</w:t>
            </w:r>
          </w:p>
        </w:tc>
        <w:tc>
          <w:tcPr>
            <w:tcW w:type="dxa" w:w="1814"/>
            <w:shd w:fill="D9E1F2"/>
            <w:tcMar>
              <w:top w:w="80" w:type="dxa"/>
              <w:start w:w="80" w:type="dxa"/>
              <w:bottom w:w="80" w:type="dxa"/>
              <w:end w:w="80" w:type="dxa"/>
            </w:tcMar>
            <w:vAlign w:val="center"/>
          </w:tcPr>
          <w:p>
            <w:pPr>
              <w:jc w:val="left"/>
            </w:pPr>
            <w:r>
              <w:rPr>
                <w:rFonts w:ascii="Arial" w:hAnsi="Arial"/>
                <w:b/>
                <w:sz w:val="15"/>
              </w:rPr>
              <w:t>Full revaluation</w:t>
            </w:r>
          </w:p>
        </w:tc>
        <w:tc>
          <w:tcPr>
            <w:tcW w:type="dxa" w:w="2268"/>
            <w:shd w:fill="D9E1F2"/>
            <w:tcMar>
              <w:top w:w="80" w:type="dxa"/>
              <w:start w:w="80" w:type="dxa"/>
              <w:bottom w:w="80" w:type="dxa"/>
              <w:end w:w="80" w:type="dxa"/>
            </w:tcMar>
            <w:vAlign w:val="center"/>
          </w:tcPr>
          <w:p>
            <w:pPr>
              <w:jc w:val="left"/>
            </w:pPr>
            <w:r>
              <w:rPr>
                <w:rFonts w:ascii="Arial" w:hAnsi="Arial"/>
                <w:b/>
                <w:sz w:val="15"/>
              </w:rPr>
              <w:t>Sensitivity approximation</w:t>
            </w:r>
          </w:p>
        </w:tc>
        <w:tc>
          <w:tcPr>
            <w:tcW w:type="dxa" w:w="3175"/>
            <w:shd w:fill="D9E1F2"/>
            <w:tcMar>
              <w:top w:w="80" w:type="dxa"/>
              <w:start w:w="80" w:type="dxa"/>
              <w:bottom w:w="80" w:type="dxa"/>
              <w:end w:w="80" w:type="dxa"/>
            </w:tcMar>
            <w:vAlign w:val="center"/>
          </w:tcPr>
          <w:p>
            <w:pPr>
              <w:jc w:val="left"/>
            </w:pPr>
            <w:r>
              <w:rPr>
                <w:rFonts w:ascii="Arial" w:hAnsi="Arial"/>
                <w:b/>
                <w:sz w:val="15"/>
              </w:rPr>
              <w:t>Comment</w:t>
            </w:r>
          </w:p>
        </w:tc>
      </w:tr>
      <w:tr>
        <w:tc>
          <w:tcPr>
            <w:tcW w:type="dxa" w:w="2494"/>
            <w:tcMar>
              <w:top w:w="75" w:type="dxa"/>
              <w:start w:w="80" w:type="dxa"/>
              <w:bottom w:w="75" w:type="dxa"/>
              <w:end w:w="80" w:type="dxa"/>
            </w:tcMar>
            <w:vAlign w:val="top"/>
          </w:tcPr>
          <w:p>
            <w:pPr>
              <w:spacing w:after="0"/>
            </w:pPr>
            <w:r>
              <w:rPr>
                <w:rFonts w:ascii="Arial" w:hAnsi="Arial"/>
                <w:b/>
                <w:sz w:val="15"/>
              </w:rPr>
              <w:t>1-day 99% VaR</w:t>
            </w:r>
          </w:p>
        </w:tc>
        <w:tc>
          <w:tcPr>
            <w:tcW w:type="dxa" w:w="1814"/>
            <w:tcMar>
              <w:top w:w="75" w:type="dxa"/>
              <w:start w:w="80" w:type="dxa"/>
              <w:bottom w:w="75" w:type="dxa"/>
              <w:end w:w="80" w:type="dxa"/>
            </w:tcMar>
            <w:vAlign w:val="top"/>
          </w:tcPr>
          <w:p>
            <w:pPr>
              <w:spacing w:after="0"/>
            </w:pPr>
            <w:r>
              <w:rPr>
                <w:rFonts w:ascii="Arial" w:hAnsi="Arial"/>
                <w:b w:val="0"/>
                <w:sz w:val="15"/>
              </w:rPr>
              <w:t>£7.8m</w:t>
            </w:r>
          </w:p>
        </w:tc>
        <w:tc>
          <w:tcPr>
            <w:tcW w:type="dxa" w:w="2268"/>
            <w:tcMar>
              <w:top w:w="75" w:type="dxa"/>
              <w:start w:w="80" w:type="dxa"/>
              <w:bottom w:w="75" w:type="dxa"/>
              <w:end w:w="80" w:type="dxa"/>
            </w:tcMar>
            <w:vAlign w:val="top"/>
          </w:tcPr>
          <w:p>
            <w:pPr>
              <w:spacing w:after="0"/>
            </w:pPr>
            <w:r>
              <w:rPr>
                <w:rFonts w:ascii="Arial" w:hAnsi="Arial"/>
                <w:b w:val="0"/>
                <w:sz w:val="15"/>
              </w:rPr>
              <w:t>£7.4m</w:t>
            </w:r>
          </w:p>
        </w:tc>
        <w:tc>
          <w:tcPr>
            <w:tcW w:type="dxa" w:w="3175"/>
            <w:tcMar>
              <w:top w:w="75" w:type="dxa"/>
              <w:start w:w="80" w:type="dxa"/>
              <w:bottom w:w="75" w:type="dxa"/>
              <w:end w:w="80" w:type="dxa"/>
            </w:tcMar>
            <w:vAlign w:val="top"/>
          </w:tcPr>
          <w:p>
            <w:pPr>
              <w:spacing w:after="0"/>
            </w:pPr>
            <w:r>
              <w:rPr>
                <w:rFonts w:ascii="Arial" w:hAnsi="Arial"/>
                <w:b w:val="0"/>
                <w:sz w:val="15"/>
              </w:rPr>
              <w:t>Approximation underestimates by ~5%.</w:t>
            </w:r>
          </w:p>
        </w:tc>
      </w:tr>
      <w:tr>
        <w:tc>
          <w:tcPr>
            <w:tcW w:type="dxa" w:w="2494"/>
            <w:tcMar>
              <w:top w:w="75" w:type="dxa"/>
              <w:start w:w="80" w:type="dxa"/>
              <w:bottom w:w="75" w:type="dxa"/>
              <w:end w:w="80" w:type="dxa"/>
            </w:tcMar>
            <w:vAlign w:val="top"/>
          </w:tcPr>
          <w:p>
            <w:pPr>
              <w:spacing w:after="0"/>
            </w:pPr>
            <w:r>
              <w:rPr>
                <w:rFonts w:ascii="Arial" w:hAnsi="Arial"/>
                <w:b/>
                <w:sz w:val="15"/>
              </w:rPr>
              <w:t>97.5% Expected Shortfall</w:t>
            </w:r>
          </w:p>
        </w:tc>
        <w:tc>
          <w:tcPr>
            <w:tcW w:type="dxa" w:w="1814"/>
            <w:tcMar>
              <w:top w:w="75" w:type="dxa"/>
              <w:start w:w="80" w:type="dxa"/>
              <w:bottom w:w="75" w:type="dxa"/>
              <w:end w:w="80" w:type="dxa"/>
            </w:tcMar>
            <w:vAlign w:val="top"/>
          </w:tcPr>
          <w:p>
            <w:pPr>
              <w:spacing w:after="0"/>
            </w:pPr>
            <w:r>
              <w:rPr>
                <w:rFonts w:ascii="Arial" w:hAnsi="Arial"/>
                <w:b w:val="0"/>
                <w:sz w:val="15"/>
              </w:rPr>
              <w:t>£10.6m</w:t>
            </w:r>
          </w:p>
        </w:tc>
        <w:tc>
          <w:tcPr>
            <w:tcW w:type="dxa" w:w="2268"/>
            <w:tcMar>
              <w:top w:w="75" w:type="dxa"/>
              <w:start w:w="80" w:type="dxa"/>
              <w:bottom w:w="75" w:type="dxa"/>
              <w:end w:w="80" w:type="dxa"/>
            </w:tcMar>
            <w:vAlign w:val="top"/>
          </w:tcPr>
          <w:p>
            <w:pPr>
              <w:spacing w:after="0"/>
            </w:pPr>
            <w:r>
              <w:rPr>
                <w:rFonts w:ascii="Arial" w:hAnsi="Arial"/>
                <w:b w:val="0"/>
                <w:sz w:val="15"/>
              </w:rPr>
              <w:t>£9.8m</w:t>
            </w:r>
          </w:p>
        </w:tc>
        <w:tc>
          <w:tcPr>
            <w:tcW w:type="dxa" w:w="3175"/>
            <w:tcMar>
              <w:top w:w="75" w:type="dxa"/>
              <w:start w:w="80" w:type="dxa"/>
              <w:bottom w:w="75" w:type="dxa"/>
              <w:end w:w="80" w:type="dxa"/>
            </w:tcMar>
            <w:vAlign w:val="top"/>
          </w:tcPr>
          <w:p>
            <w:pPr>
              <w:spacing w:after="0"/>
            </w:pPr>
            <w:r>
              <w:rPr>
                <w:rFonts w:ascii="Arial" w:hAnsi="Arial"/>
                <w:b w:val="0"/>
                <w:sz w:val="15"/>
              </w:rPr>
              <w:t>Tail nonlinearity matters more.</w:t>
            </w:r>
          </w:p>
        </w:tc>
      </w:tr>
      <w:tr>
        <w:tc>
          <w:tcPr>
            <w:tcW w:type="dxa" w:w="2494"/>
            <w:tcMar>
              <w:top w:w="75" w:type="dxa"/>
              <w:start w:w="80" w:type="dxa"/>
              <w:bottom w:w="75" w:type="dxa"/>
              <w:end w:w="80" w:type="dxa"/>
            </w:tcMar>
            <w:vAlign w:val="top"/>
          </w:tcPr>
          <w:p>
            <w:pPr>
              <w:spacing w:after="0"/>
            </w:pPr>
            <w:r>
              <w:rPr>
                <w:rFonts w:ascii="Arial" w:hAnsi="Arial"/>
                <w:b/>
                <w:sz w:val="15"/>
              </w:rPr>
              <w:t>Median scenario P&amp;L</w:t>
            </w:r>
          </w:p>
        </w:tc>
        <w:tc>
          <w:tcPr>
            <w:tcW w:type="dxa" w:w="1814"/>
            <w:tcMar>
              <w:top w:w="75" w:type="dxa"/>
              <w:start w:w="80" w:type="dxa"/>
              <w:bottom w:w="75" w:type="dxa"/>
              <w:end w:w="80" w:type="dxa"/>
            </w:tcMar>
            <w:vAlign w:val="top"/>
          </w:tcPr>
          <w:p>
            <w:pPr>
              <w:spacing w:after="0"/>
            </w:pPr>
            <w:r>
              <w:rPr>
                <w:rFonts w:ascii="Arial" w:hAnsi="Arial"/>
                <w:b w:val="0"/>
                <w:sz w:val="15"/>
              </w:rPr>
              <w:t>~£0.1m</w:t>
            </w:r>
          </w:p>
        </w:tc>
        <w:tc>
          <w:tcPr>
            <w:tcW w:type="dxa" w:w="2268"/>
            <w:tcMar>
              <w:top w:w="75" w:type="dxa"/>
              <w:start w:w="80" w:type="dxa"/>
              <w:bottom w:w="75" w:type="dxa"/>
              <w:end w:w="80" w:type="dxa"/>
            </w:tcMar>
            <w:vAlign w:val="top"/>
          </w:tcPr>
          <w:p>
            <w:pPr>
              <w:spacing w:after="0"/>
            </w:pPr>
            <w:r>
              <w:rPr>
                <w:rFonts w:ascii="Arial" w:hAnsi="Arial"/>
                <w:b w:val="0"/>
                <w:sz w:val="15"/>
              </w:rPr>
              <w:t>~£0.1m</w:t>
            </w:r>
          </w:p>
        </w:tc>
        <w:tc>
          <w:tcPr>
            <w:tcW w:type="dxa" w:w="3175"/>
            <w:tcMar>
              <w:top w:w="75" w:type="dxa"/>
              <w:start w:w="80" w:type="dxa"/>
              <w:bottom w:w="75" w:type="dxa"/>
              <w:end w:w="80" w:type="dxa"/>
            </w:tcMar>
            <w:vAlign w:val="top"/>
          </w:tcPr>
          <w:p>
            <w:pPr>
              <w:spacing w:after="0"/>
            </w:pPr>
            <w:r>
              <w:rPr>
                <w:rFonts w:ascii="Arial" w:hAnsi="Arial"/>
                <w:b w:val="0"/>
                <w:sz w:val="15"/>
              </w:rPr>
              <w:t>Both agree near centre.</w:t>
            </w:r>
          </w:p>
        </w:tc>
      </w:tr>
      <w:tr>
        <w:tc>
          <w:tcPr>
            <w:tcW w:type="dxa" w:w="2494"/>
            <w:tcMar>
              <w:top w:w="75" w:type="dxa"/>
              <w:start w:w="80" w:type="dxa"/>
              <w:bottom w:w="75" w:type="dxa"/>
              <w:end w:w="80" w:type="dxa"/>
            </w:tcMar>
            <w:vAlign w:val="top"/>
          </w:tcPr>
          <w:p>
            <w:pPr>
              <w:spacing w:after="0"/>
            </w:pPr>
            <w:r>
              <w:rPr>
                <w:rFonts w:ascii="Arial" w:hAnsi="Arial"/>
                <w:b/>
                <w:sz w:val="15"/>
              </w:rPr>
              <w:t>Worst 1% option-book error</w:t>
            </w:r>
          </w:p>
        </w:tc>
        <w:tc>
          <w:tcPr>
            <w:tcW w:type="dxa" w:w="1814"/>
            <w:tcMar>
              <w:top w:w="75" w:type="dxa"/>
              <w:start w:w="80" w:type="dxa"/>
              <w:bottom w:w="75" w:type="dxa"/>
              <w:end w:w="80" w:type="dxa"/>
            </w:tcMar>
            <w:vAlign w:val="top"/>
          </w:tcPr>
          <w:p>
            <w:pPr>
              <w:spacing w:after="0"/>
            </w:pPr>
            <w:r>
              <w:rPr>
                <w:rFonts w:ascii="Arial" w:hAnsi="Arial"/>
                <w:b w:val="0"/>
                <w:sz w:val="15"/>
              </w:rPr>
              <w:t>Reference</w:t>
            </w:r>
          </w:p>
        </w:tc>
        <w:tc>
          <w:tcPr>
            <w:tcW w:type="dxa" w:w="2268"/>
            <w:tcMar>
              <w:top w:w="75" w:type="dxa"/>
              <w:start w:w="80" w:type="dxa"/>
              <w:bottom w:w="75" w:type="dxa"/>
              <w:end w:w="80" w:type="dxa"/>
            </w:tcMar>
            <w:vAlign w:val="top"/>
          </w:tcPr>
          <w:p>
            <w:pPr>
              <w:spacing w:after="0"/>
            </w:pPr>
            <w:r>
              <w:rPr>
                <w:rFonts w:ascii="Arial" w:hAnsi="Arial"/>
                <w:b w:val="0"/>
                <w:sz w:val="15"/>
              </w:rPr>
              <w:t>-18% to +12%</w:t>
            </w:r>
          </w:p>
        </w:tc>
        <w:tc>
          <w:tcPr>
            <w:tcW w:type="dxa" w:w="3175"/>
            <w:tcMar>
              <w:top w:w="75" w:type="dxa"/>
              <w:start w:w="80" w:type="dxa"/>
              <w:bottom w:w="75" w:type="dxa"/>
              <w:end w:w="80" w:type="dxa"/>
            </w:tcMar>
            <w:vAlign w:val="top"/>
          </w:tcPr>
          <w:p>
            <w:pPr>
              <w:spacing w:after="0"/>
            </w:pPr>
            <w:r>
              <w:rPr>
                <w:rFonts w:ascii="Arial" w:hAnsi="Arial"/>
                <w:b w:val="0"/>
                <w:sz w:val="15"/>
              </w:rPr>
              <w:t>Material local approximation error.</w:t>
            </w:r>
          </w:p>
        </w:tc>
      </w:tr>
      <w:tr>
        <w:tc>
          <w:tcPr>
            <w:tcW w:type="dxa" w:w="2494"/>
            <w:tcMar>
              <w:top w:w="75" w:type="dxa"/>
              <w:start w:w="80" w:type="dxa"/>
              <w:bottom w:w="75" w:type="dxa"/>
              <w:end w:w="80" w:type="dxa"/>
            </w:tcMar>
            <w:vAlign w:val="top"/>
          </w:tcPr>
          <w:p>
            <w:pPr>
              <w:spacing w:after="0"/>
            </w:pPr>
            <w:r>
              <w:rPr>
                <w:rFonts w:ascii="Arial" w:hAnsi="Arial"/>
                <w:b/>
                <w:sz w:val="15"/>
              </w:rPr>
              <w:t>Runtime per full scenario set</w:t>
            </w:r>
          </w:p>
        </w:tc>
        <w:tc>
          <w:tcPr>
            <w:tcW w:type="dxa" w:w="1814"/>
            <w:tcMar>
              <w:top w:w="75" w:type="dxa"/>
              <w:start w:w="80" w:type="dxa"/>
              <w:bottom w:w="75" w:type="dxa"/>
              <w:end w:w="80" w:type="dxa"/>
            </w:tcMar>
            <w:vAlign w:val="top"/>
          </w:tcPr>
          <w:p>
            <w:pPr>
              <w:spacing w:after="0"/>
            </w:pPr>
            <w:r>
              <w:rPr>
                <w:rFonts w:ascii="Arial" w:hAnsi="Arial"/>
                <w:b w:val="0"/>
                <w:sz w:val="15"/>
              </w:rPr>
              <w:t>35 min</w:t>
            </w:r>
          </w:p>
        </w:tc>
        <w:tc>
          <w:tcPr>
            <w:tcW w:type="dxa" w:w="2268"/>
            <w:tcMar>
              <w:top w:w="75" w:type="dxa"/>
              <w:start w:w="80" w:type="dxa"/>
              <w:bottom w:w="75" w:type="dxa"/>
              <w:end w:w="80" w:type="dxa"/>
            </w:tcMar>
            <w:vAlign w:val="top"/>
          </w:tcPr>
          <w:p>
            <w:pPr>
              <w:spacing w:after="0"/>
            </w:pPr>
            <w:r>
              <w:rPr>
                <w:rFonts w:ascii="Arial" w:hAnsi="Arial"/>
                <w:b w:val="0"/>
                <w:sz w:val="15"/>
              </w:rPr>
              <w:t>4 min</w:t>
            </w:r>
          </w:p>
        </w:tc>
        <w:tc>
          <w:tcPr>
            <w:tcW w:type="dxa" w:w="3175"/>
            <w:tcMar>
              <w:top w:w="75" w:type="dxa"/>
              <w:start w:w="80" w:type="dxa"/>
              <w:bottom w:w="75" w:type="dxa"/>
              <w:end w:w="80" w:type="dxa"/>
            </w:tcMar>
            <w:vAlign w:val="top"/>
          </w:tcPr>
          <w:p>
            <w:pPr>
              <w:spacing w:after="0"/>
            </w:pPr>
            <w:r>
              <w:rPr>
                <w:rFonts w:ascii="Arial" w:hAnsi="Arial"/>
                <w:b w:val="0"/>
                <w:sz w:val="15"/>
              </w:rPr>
              <w:t>Illustrative compute trade-off.</w:t>
            </w:r>
          </w:p>
        </w:tc>
      </w:tr>
    </w:tbl>
    <w:p>
      <w:pPr>
        <w:spacing w:after="0"/>
      </w:pPr>
    </w:p>
    <w:p>
      <w:pPr>
        <w:keepNext w:val="0"/>
        <w:spacing w:after="100" w:line="252" w:lineRule="auto"/>
      </w:pPr>
      <w:r>
        <w:rPr>
          <w:rFonts w:ascii="Arial" w:hAnsi="Arial"/>
          <w:i w:val="0"/>
        </w:rPr>
        <w:t>A senior-level conclusion would be: the sensitivity approximation is good enough for most linear Rates exposure but needs targeted full revaluation for option/skew-heavy sub-books and stressed scenarios.</w:t>
      </w:r>
    </w:p>
    <w:p>
      <w:pPr>
        <w:pStyle w:val="Heading2"/>
        <w:keepNext/>
        <w:spacing w:before="160" w:after="100"/>
      </w:pPr>
      <w:r>
        <w:rPr>
          <w:rFonts w:ascii="Arial" w:hAnsi="Arial"/>
          <w:b/>
          <w:sz w:val="25"/>
        </w:rPr>
        <w:t>5.2 Example B - RNIV / missing-risk analysis</w:t>
      </w:r>
    </w:p>
    <w:p>
      <w:pPr>
        <w:keepNext w:val="0"/>
        <w:spacing w:after="100" w:line="252" w:lineRule="auto"/>
      </w:pPr>
      <w:r>
        <w:rPr>
          <w:rFonts w:ascii="Arial" w:hAnsi="Arial"/>
          <w:i w:val="0"/>
        </w:rPr>
        <w:t>Hypothetical issue: the core risk representation captures ATM volatility but coarsely maps volatility skew. An options portfolio is therefore exposed to a dimension not adequately represented in the main scenario set.</w:t>
      </w:r>
    </w:p>
    <w:p>
      <w:pPr>
        <w:spacing w:after="50"/>
        <w:ind w:left="312" w:hanging="255"/>
      </w:pPr>
      <w:r>
        <w:rPr>
          <w:rFonts w:ascii="Arial" w:hAnsi="Arial"/>
        </w:rPr>
        <w:t>1.  Identify the missing factor: e.g. 25-delta risk-reversal / skew move.</w:t>
      </w:r>
    </w:p>
    <w:p>
      <w:pPr>
        <w:spacing w:after="50"/>
        <w:ind w:left="312" w:hanging="255"/>
      </w:pPr>
      <w:r>
        <w:rPr>
          <w:rFonts w:ascii="Arial" w:hAnsi="Arial"/>
        </w:rPr>
        <w:t>2.  Construct historically plausible and stressed skew shocks.</w:t>
      </w:r>
    </w:p>
    <w:p>
      <w:pPr>
        <w:spacing w:after="50"/>
        <w:ind w:left="312" w:hanging="255"/>
      </w:pPr>
      <w:r>
        <w:rPr>
          <w:rFonts w:ascii="Arial" w:hAnsi="Arial"/>
        </w:rPr>
        <w:t>3.  Revalue the affected option book under those shocks.</w:t>
      </w:r>
    </w:p>
    <w:p>
      <w:pPr>
        <w:spacing w:after="50"/>
        <w:ind w:left="312" w:hanging="255"/>
      </w:pPr>
      <w:r>
        <w:rPr>
          <w:rFonts w:ascii="Arial" w:hAnsi="Arial"/>
        </w:rPr>
        <w:t>4.  Measure incremental loss beyond what the existing VaR factors already capture.</w:t>
      </w:r>
    </w:p>
    <w:p>
      <w:pPr>
        <w:spacing w:after="50"/>
        <w:ind w:left="312" w:hanging="255"/>
      </w:pPr>
      <w:r>
        <w:rPr>
          <w:rFonts w:ascii="Arial" w:hAnsi="Arial"/>
        </w:rPr>
        <w:t>5.  Avoid simply adding standalone stress losses if they overlap with existing risk.</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ILLUSTRATIVE RESULT</w:t>
            </w:r>
          </w:p>
          <w:p>
            <w:pPr>
              <w:spacing w:after="0"/>
            </w:pPr>
            <w:r>
              <w:rPr>
                <w:rFonts w:ascii="Arial" w:hAnsi="Arial"/>
                <w:sz w:val="18"/>
              </w:rPr>
              <w:t>Raw standalone skew stress = £1.6m. After accounting for overlap with existing volatility scenarios, the incremental missing-risk estimate is £1.1m. The important concept is the identification and overlap treatment, not the invented number.</w:t>
            </w:r>
          </w:p>
        </w:tc>
      </w:tr>
    </w:tbl>
    <w:p>
      <w:pPr>
        <w:spacing w:after="0"/>
      </w:pPr>
    </w:p>
    <w:p>
      <w:pPr>
        <w:pStyle w:val="Heading2"/>
        <w:keepNext/>
        <w:spacing w:before="160" w:after="100"/>
      </w:pPr>
      <w:r>
        <w:rPr>
          <w:rFonts w:ascii="Arial" w:hAnsi="Arial"/>
          <w:b/>
          <w:sz w:val="25"/>
        </w:rPr>
        <w:t>5.3 Example C - Monte Carlo simulation</w:t>
      </w:r>
    </w:p>
    <w:p>
      <w:pPr>
        <w:keepNext w:val="0"/>
        <w:spacing w:after="100" w:line="252" w:lineRule="auto"/>
      </w:pPr>
      <w:r>
        <w:rPr>
          <w:rFonts w:ascii="Arial" w:hAnsi="Arial"/>
          <w:i w:val="0"/>
        </w:rPr>
        <w:t>Monte Carlo is a numerical method, not a financial model. The dynamics and probability measure depend on the question. For pricing, use an appropriate risk-neutral framework and discounting. For real-world market risk, simulate under physical / empirical assumptions. Using random paths in both cases does not make them equivalent.</w:t>
      </w:r>
    </w:p>
    <w:p>
      <w:pPr>
        <w:pStyle w:val="Heading3"/>
        <w:keepNext/>
        <w:spacing w:before="160" w:after="100"/>
      </w:pPr>
      <w:r>
        <w:rPr>
          <w:rFonts w:ascii="Arial" w:hAnsi="Arial"/>
          <w:b/>
          <w:sz w:val="21"/>
        </w:rPr>
        <w:t>5.3.1 Hypothetical pricing validation</w:t>
      </w:r>
    </w:p>
    <w:p>
      <w:pPr>
        <w:keepNext w:val="0"/>
        <w:spacing w:after="100" w:line="252" w:lineRule="auto"/>
      </w:pPr>
      <w:r>
        <w:rPr>
          <w:rFonts w:ascii="Arial" w:hAnsi="Arial"/>
          <w:i w:val="0"/>
        </w:rPr>
        <w:t>Suppose Monte Carlo is used to value an option or portfolio with path-dependent components. Validate the simulation engine first on a simple European option where an analytical benchmark exists, then test convergence and discretisation on the actual exposure.</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1701"/>
            <w:shd w:fill="D9E1F2"/>
            <w:tcMar>
              <w:top w:w="80" w:type="dxa"/>
              <w:start w:w="80" w:type="dxa"/>
              <w:bottom w:w="80" w:type="dxa"/>
              <w:end w:w="80" w:type="dxa"/>
            </w:tcMar>
            <w:vAlign w:val="center"/>
          </w:tcPr>
          <w:p>
            <w:pPr>
              <w:jc w:val="left"/>
            </w:pPr>
            <w:r>
              <w:rPr>
                <w:rFonts w:ascii="Arial" w:hAnsi="Arial"/>
                <w:b/>
                <w:sz w:val="16"/>
              </w:rPr>
              <w:t>Paths</w:t>
            </w:r>
          </w:p>
        </w:tc>
        <w:tc>
          <w:tcPr>
            <w:tcW w:type="dxa" w:w="2835"/>
            <w:shd w:fill="D9E1F2"/>
            <w:tcMar>
              <w:top w:w="80" w:type="dxa"/>
              <w:start w:w="80" w:type="dxa"/>
              <w:bottom w:w="80" w:type="dxa"/>
              <w:end w:w="80" w:type="dxa"/>
            </w:tcMar>
            <w:vAlign w:val="center"/>
          </w:tcPr>
          <w:p>
            <w:pPr>
              <w:jc w:val="left"/>
            </w:pPr>
            <w:r>
              <w:rPr>
                <w:rFonts w:ascii="Arial" w:hAnsi="Arial"/>
                <w:b/>
                <w:sz w:val="16"/>
              </w:rPr>
              <w:t>Illustrative price error vs benchmark</w:t>
            </w:r>
          </w:p>
        </w:tc>
        <w:tc>
          <w:tcPr>
            <w:tcW w:type="dxa" w:w="2835"/>
            <w:shd w:fill="D9E1F2"/>
            <w:tcMar>
              <w:top w:w="80" w:type="dxa"/>
              <w:start w:w="80" w:type="dxa"/>
              <w:bottom w:w="80" w:type="dxa"/>
              <w:end w:w="80" w:type="dxa"/>
            </w:tcMar>
            <w:vAlign w:val="center"/>
          </w:tcPr>
          <w:p>
            <w:pPr>
              <w:jc w:val="left"/>
            </w:pPr>
            <w:r>
              <w:rPr>
                <w:rFonts w:ascii="Arial" w:hAnsi="Arial"/>
                <w:b/>
                <w:sz w:val="16"/>
              </w:rPr>
              <w:t>Monte Carlo standard error</w:t>
            </w:r>
          </w:p>
        </w:tc>
        <w:tc>
          <w:tcPr>
            <w:tcW w:type="dxa" w:w="2381"/>
            <w:shd w:fill="D9E1F2"/>
            <w:tcMar>
              <w:top w:w="80" w:type="dxa"/>
              <w:start w:w="80" w:type="dxa"/>
              <w:bottom w:w="80" w:type="dxa"/>
              <w:end w:w="80" w:type="dxa"/>
            </w:tcMar>
            <w:vAlign w:val="center"/>
          </w:tcPr>
          <w:p>
            <w:pPr>
              <w:jc w:val="left"/>
            </w:pPr>
            <w:r>
              <w:rPr>
                <w:rFonts w:ascii="Arial" w:hAnsi="Arial"/>
                <w:b/>
                <w:sz w:val="16"/>
              </w:rPr>
              <w:t>Runtime</w:t>
            </w:r>
          </w:p>
        </w:tc>
      </w:tr>
      <w:tr>
        <w:tc>
          <w:tcPr>
            <w:tcW w:type="dxa" w:w="1701"/>
            <w:tcMar>
              <w:top w:w="75" w:type="dxa"/>
              <w:start w:w="80" w:type="dxa"/>
              <w:bottom w:w="75" w:type="dxa"/>
              <w:end w:w="80" w:type="dxa"/>
            </w:tcMar>
            <w:vAlign w:val="top"/>
          </w:tcPr>
          <w:p>
            <w:pPr>
              <w:spacing w:after="0"/>
            </w:pPr>
            <w:r>
              <w:rPr>
                <w:rFonts w:ascii="Arial" w:hAnsi="Arial"/>
                <w:b/>
                <w:sz w:val="16"/>
              </w:rPr>
              <w:t>25k</w:t>
            </w:r>
          </w:p>
        </w:tc>
        <w:tc>
          <w:tcPr>
            <w:tcW w:type="dxa" w:w="2835"/>
            <w:tcMar>
              <w:top w:w="75" w:type="dxa"/>
              <w:start w:w="80" w:type="dxa"/>
              <w:bottom w:w="75" w:type="dxa"/>
              <w:end w:w="80" w:type="dxa"/>
            </w:tcMar>
            <w:vAlign w:val="top"/>
          </w:tcPr>
          <w:p>
            <w:pPr>
              <w:spacing w:after="0"/>
            </w:pPr>
            <w:r>
              <w:rPr>
                <w:rFonts w:ascii="Arial" w:hAnsi="Arial"/>
                <w:b w:val="0"/>
                <w:sz w:val="16"/>
              </w:rPr>
              <w:t>0.20%</w:t>
            </w:r>
          </w:p>
        </w:tc>
        <w:tc>
          <w:tcPr>
            <w:tcW w:type="dxa" w:w="2835"/>
            <w:tcMar>
              <w:top w:w="75" w:type="dxa"/>
              <w:start w:w="80" w:type="dxa"/>
              <w:bottom w:w="75" w:type="dxa"/>
              <w:end w:w="80" w:type="dxa"/>
            </w:tcMar>
            <w:vAlign w:val="top"/>
          </w:tcPr>
          <w:p>
            <w:pPr>
              <w:spacing w:after="0"/>
            </w:pPr>
            <w:r>
              <w:rPr>
                <w:rFonts w:ascii="Arial" w:hAnsi="Arial"/>
                <w:b w:val="0"/>
                <w:sz w:val="16"/>
              </w:rPr>
              <w:t>0.14%</w:t>
            </w:r>
          </w:p>
        </w:tc>
        <w:tc>
          <w:tcPr>
            <w:tcW w:type="dxa" w:w="2381"/>
            <w:tcMar>
              <w:top w:w="75" w:type="dxa"/>
              <w:start w:w="80" w:type="dxa"/>
              <w:bottom w:w="75" w:type="dxa"/>
              <w:end w:w="80" w:type="dxa"/>
            </w:tcMar>
            <w:vAlign w:val="top"/>
          </w:tcPr>
          <w:p>
            <w:pPr>
              <w:spacing w:after="0"/>
            </w:pPr>
            <w:r>
              <w:rPr>
                <w:rFonts w:ascii="Arial" w:hAnsi="Arial"/>
                <w:b w:val="0"/>
                <w:sz w:val="16"/>
              </w:rPr>
              <w:t>1x</w:t>
            </w:r>
          </w:p>
        </w:tc>
      </w:tr>
      <w:tr>
        <w:tc>
          <w:tcPr>
            <w:tcW w:type="dxa" w:w="1701"/>
            <w:tcMar>
              <w:top w:w="75" w:type="dxa"/>
              <w:start w:w="80" w:type="dxa"/>
              <w:bottom w:w="75" w:type="dxa"/>
              <w:end w:w="80" w:type="dxa"/>
            </w:tcMar>
            <w:vAlign w:val="top"/>
          </w:tcPr>
          <w:p>
            <w:pPr>
              <w:spacing w:after="0"/>
            </w:pPr>
            <w:r>
              <w:rPr>
                <w:rFonts w:ascii="Arial" w:hAnsi="Arial"/>
                <w:b/>
                <w:sz w:val="16"/>
              </w:rPr>
              <w:t>100k</w:t>
            </w:r>
          </w:p>
        </w:tc>
        <w:tc>
          <w:tcPr>
            <w:tcW w:type="dxa" w:w="2835"/>
            <w:tcMar>
              <w:top w:w="75" w:type="dxa"/>
              <w:start w:w="80" w:type="dxa"/>
              <w:bottom w:w="75" w:type="dxa"/>
              <w:end w:w="80" w:type="dxa"/>
            </w:tcMar>
            <w:vAlign w:val="top"/>
          </w:tcPr>
          <w:p>
            <w:pPr>
              <w:spacing w:after="0"/>
            </w:pPr>
            <w:r>
              <w:rPr>
                <w:rFonts w:ascii="Arial" w:hAnsi="Arial"/>
                <w:b w:val="0"/>
                <w:sz w:val="16"/>
              </w:rPr>
              <w:t>0.08%</w:t>
            </w:r>
          </w:p>
        </w:tc>
        <w:tc>
          <w:tcPr>
            <w:tcW w:type="dxa" w:w="2835"/>
            <w:tcMar>
              <w:top w:w="75" w:type="dxa"/>
              <w:start w:w="80" w:type="dxa"/>
              <w:bottom w:w="75" w:type="dxa"/>
              <w:end w:w="80" w:type="dxa"/>
            </w:tcMar>
            <w:vAlign w:val="top"/>
          </w:tcPr>
          <w:p>
            <w:pPr>
              <w:spacing w:after="0"/>
            </w:pPr>
            <w:r>
              <w:rPr>
                <w:rFonts w:ascii="Arial" w:hAnsi="Arial"/>
                <w:b w:val="0"/>
                <w:sz w:val="16"/>
              </w:rPr>
              <w:t>0.07%</w:t>
            </w:r>
          </w:p>
        </w:tc>
        <w:tc>
          <w:tcPr>
            <w:tcW w:type="dxa" w:w="2381"/>
            <w:tcMar>
              <w:top w:w="75" w:type="dxa"/>
              <w:start w:w="80" w:type="dxa"/>
              <w:bottom w:w="75" w:type="dxa"/>
              <w:end w:w="80" w:type="dxa"/>
            </w:tcMar>
            <w:vAlign w:val="top"/>
          </w:tcPr>
          <w:p>
            <w:pPr>
              <w:spacing w:after="0"/>
            </w:pPr>
            <w:r>
              <w:rPr>
                <w:rFonts w:ascii="Arial" w:hAnsi="Arial"/>
                <w:b w:val="0"/>
                <w:sz w:val="16"/>
              </w:rPr>
              <w:t>~4x</w:t>
            </w:r>
          </w:p>
        </w:tc>
      </w:tr>
      <w:tr>
        <w:tc>
          <w:tcPr>
            <w:tcW w:type="dxa" w:w="1701"/>
            <w:tcMar>
              <w:top w:w="75" w:type="dxa"/>
              <w:start w:w="80" w:type="dxa"/>
              <w:bottom w:w="75" w:type="dxa"/>
              <w:end w:w="80" w:type="dxa"/>
            </w:tcMar>
            <w:vAlign w:val="top"/>
          </w:tcPr>
          <w:p>
            <w:pPr>
              <w:spacing w:after="0"/>
            </w:pPr>
            <w:r>
              <w:rPr>
                <w:rFonts w:ascii="Arial" w:hAnsi="Arial"/>
                <w:b/>
                <w:sz w:val="16"/>
              </w:rPr>
              <w:t>400k</w:t>
            </w:r>
          </w:p>
        </w:tc>
        <w:tc>
          <w:tcPr>
            <w:tcW w:type="dxa" w:w="2835"/>
            <w:tcMar>
              <w:top w:w="75" w:type="dxa"/>
              <w:start w:w="80" w:type="dxa"/>
              <w:bottom w:w="75" w:type="dxa"/>
              <w:end w:w="80" w:type="dxa"/>
            </w:tcMar>
            <w:vAlign w:val="top"/>
          </w:tcPr>
          <w:p>
            <w:pPr>
              <w:spacing w:after="0"/>
            </w:pPr>
            <w:r>
              <w:rPr>
                <w:rFonts w:ascii="Arial" w:hAnsi="Arial"/>
                <w:b w:val="0"/>
                <w:sz w:val="16"/>
              </w:rPr>
              <w:t>0.04%</w:t>
            </w:r>
          </w:p>
        </w:tc>
        <w:tc>
          <w:tcPr>
            <w:tcW w:type="dxa" w:w="2835"/>
            <w:tcMar>
              <w:top w:w="75" w:type="dxa"/>
              <w:start w:w="80" w:type="dxa"/>
              <w:bottom w:w="75" w:type="dxa"/>
              <w:end w:w="80" w:type="dxa"/>
            </w:tcMar>
            <w:vAlign w:val="top"/>
          </w:tcPr>
          <w:p>
            <w:pPr>
              <w:spacing w:after="0"/>
            </w:pPr>
            <w:r>
              <w:rPr>
                <w:rFonts w:ascii="Arial" w:hAnsi="Arial"/>
                <w:b w:val="0"/>
                <w:sz w:val="16"/>
              </w:rPr>
              <w:t>0.035%</w:t>
            </w:r>
          </w:p>
        </w:tc>
        <w:tc>
          <w:tcPr>
            <w:tcW w:type="dxa" w:w="2381"/>
            <w:tcMar>
              <w:top w:w="75" w:type="dxa"/>
              <w:start w:w="80" w:type="dxa"/>
              <w:bottom w:w="75" w:type="dxa"/>
              <w:end w:w="80" w:type="dxa"/>
            </w:tcMar>
            <w:vAlign w:val="top"/>
          </w:tcPr>
          <w:p>
            <w:pPr>
              <w:spacing w:after="0"/>
            </w:pPr>
            <w:r>
              <w:rPr>
                <w:rFonts w:ascii="Arial" w:hAnsi="Arial"/>
                <w:b w:val="0"/>
                <w:sz w:val="16"/>
              </w:rPr>
              <w:t>~16x</w:t>
            </w:r>
          </w:p>
        </w:tc>
      </w:tr>
    </w:tbl>
    <w:p>
      <w:pPr>
        <w:spacing w:after="0"/>
      </w:pPr>
    </w:p>
    <w:p>
      <w:pPr>
        <w:keepNext w:val="0"/>
        <w:spacing w:after="100" w:line="252" w:lineRule="auto"/>
      </w:pPr>
      <w:r>
        <w:rPr>
          <w:rFonts w:ascii="Arial" w:hAnsi="Arial"/>
          <w:i w:val="0"/>
        </w:rPr>
        <w:t>Quadrupling independent paths roughly halves standard error. More paths do not fix wrong dynamics, missing risk factors or a biased time discretisation.</w:t>
      </w:r>
    </w:p>
    <w:p>
      <w:pPr>
        <w:pStyle w:val="Heading2"/>
        <w:keepNext/>
        <w:spacing w:before="160" w:after="100"/>
      </w:pPr>
      <w:r>
        <w:rPr>
          <w:rFonts w:ascii="Arial" w:hAnsi="Arial"/>
          <w:b/>
          <w:sz w:val="25"/>
        </w:rPr>
        <w:t>5.4 Example D - ARMA/GARCH forecasting diagnostics</w:t>
      </w:r>
    </w:p>
    <w:p>
      <w:pPr>
        <w:keepNext w:val="0"/>
        <w:spacing w:after="100" w:line="252" w:lineRule="auto"/>
      </w:pPr>
      <w:r>
        <w:rPr>
          <w:rFonts w:ascii="Arial" w:hAnsi="Arial"/>
          <w:i w:val="0"/>
        </w:rPr>
        <w:t>A realistic Markets story separates the conditional mean from conditional variance. Daily or intraday returns often have weak linear mean predictability but clear volatility clustering. ARMA is a conditional-mean model; GARCH is a conditional-variance model.</w:t>
      </w:r>
    </w:p>
    <w:p>
      <w:pPr>
        <w:keepLines/>
        <w:spacing w:before="60" w:after="80"/>
        <w:ind w:left="312" w:right="170"/>
        <w:jc w:val="center"/>
      </w:pPr>
      <w:r>
        <w:rPr>
          <w:rFonts w:ascii="Cambria Math" w:hAnsi="Cambria Math" w:eastAsia="Cambria Math" w:cs="Cambria Math"/>
          <w:sz w:val="21"/>
        </w:rPr>
        <w:t>ARMA mean:  rₜ = c + Σᵢ φᵢ rₜ₋ᵢ + εₜ + Σⱼ θⱼ εₜ₋ⱼ</w:t>
      </w:r>
    </w:p>
    <w:p>
      <w:pPr>
        <w:keepLines/>
        <w:spacing w:before="60" w:after="80"/>
        <w:ind w:left="312" w:right="170"/>
        <w:jc w:val="center"/>
      </w:pPr>
      <w:r>
        <w:rPr>
          <w:rFonts w:ascii="Cambria Math" w:hAnsi="Cambria Math" w:eastAsia="Cambria Math" w:cs="Cambria Math"/>
          <w:sz w:val="21"/>
        </w:rPr>
        <w:t>GARCH(1,1):  σₜ² = ω + α εₜ₋₁² + β σₜ₋₁²</w:t>
      </w:r>
    </w:p>
    <w:p>
      <w:pPr>
        <w:keepNext w:val="0"/>
        <w:spacing w:after="100" w:line="252" w:lineRule="auto"/>
      </w:pPr>
      <w:r>
        <w:rPr>
          <w:rFonts w:ascii="Arial" w:hAnsi="Arial"/>
          <w:i w:val="0"/>
        </w:rPr>
        <w:t>Illustrative fit: alpha = 0.07, beta = 0.90, so alpha + beta = 0.97. That indicates highly persistent conditional volatility. The exact persistence interpretation depends on the model specification and data frequency.</w:t>
      </w:r>
    </w:p>
    <w:p>
      <w:pPr>
        <w:pStyle w:val="Heading3"/>
        <w:keepNext/>
        <w:spacing w:before="160" w:after="100"/>
      </w:pPr>
      <w:r>
        <w:rPr>
          <w:rFonts w:ascii="Arial" w:hAnsi="Arial"/>
          <w:b/>
          <w:sz w:val="21"/>
        </w:rPr>
        <w:t>5.4.1 Illustrative forecasting result</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509"/>
        <w:gridCol w:w="2509"/>
        <w:gridCol w:w="2509"/>
        <w:gridCol w:w="2509"/>
      </w:tblGrid>
      <w:tr>
        <w:trPr>
          <w:tblHeader w:val="true"/>
        </w:trPr>
        <w:tc>
          <w:tcPr>
            <w:tcW w:type="dxa" w:w="2268"/>
            <w:shd w:fill="D9E1F2"/>
            <w:tcMar>
              <w:top w:w="80" w:type="dxa"/>
              <w:start w:w="80" w:type="dxa"/>
              <w:bottom w:w="80" w:type="dxa"/>
              <w:end w:w="80" w:type="dxa"/>
            </w:tcMar>
            <w:vAlign w:val="center"/>
          </w:tcPr>
          <w:p>
            <w:pPr>
              <w:jc w:val="left"/>
            </w:pPr>
            <w:r>
              <w:rPr>
                <w:rFonts w:ascii="Arial" w:hAnsi="Arial"/>
                <w:b/>
                <w:sz w:val="15"/>
              </w:rPr>
              <w:t>Model</w:t>
            </w:r>
          </w:p>
        </w:tc>
        <w:tc>
          <w:tcPr>
            <w:tcW w:type="dxa" w:w="2381"/>
            <w:shd w:fill="D9E1F2"/>
            <w:tcMar>
              <w:top w:w="80" w:type="dxa"/>
              <w:start w:w="80" w:type="dxa"/>
              <w:bottom w:w="80" w:type="dxa"/>
              <w:end w:w="80" w:type="dxa"/>
            </w:tcMar>
            <w:vAlign w:val="center"/>
          </w:tcPr>
          <w:p>
            <w:pPr>
              <w:jc w:val="left"/>
            </w:pPr>
            <w:r>
              <w:rPr>
                <w:rFonts w:ascii="Arial" w:hAnsi="Arial"/>
                <w:b/>
                <w:sz w:val="15"/>
              </w:rPr>
              <w:t>Directional return IC / R2</w:t>
            </w:r>
          </w:p>
        </w:tc>
        <w:tc>
          <w:tcPr>
            <w:tcW w:type="dxa" w:w="2268"/>
            <w:shd w:fill="D9E1F2"/>
            <w:tcMar>
              <w:top w:w="80" w:type="dxa"/>
              <w:start w:w="80" w:type="dxa"/>
              <w:bottom w:w="80" w:type="dxa"/>
              <w:end w:w="80" w:type="dxa"/>
            </w:tcMar>
            <w:vAlign w:val="center"/>
          </w:tcPr>
          <w:p>
            <w:pPr>
              <w:jc w:val="left"/>
            </w:pPr>
            <w:r>
              <w:rPr>
                <w:rFonts w:ascii="Arial" w:hAnsi="Arial"/>
                <w:b/>
                <w:sz w:val="15"/>
              </w:rPr>
              <w:t>Volatility forecast error</w:t>
            </w:r>
          </w:p>
        </w:tc>
        <w:tc>
          <w:tcPr>
            <w:tcW w:type="dxa" w:w="2835"/>
            <w:shd w:fill="D9E1F2"/>
            <w:tcMar>
              <w:top w:w="80" w:type="dxa"/>
              <w:start w:w="80" w:type="dxa"/>
              <w:bottom w:w="80" w:type="dxa"/>
              <w:end w:w="80" w:type="dxa"/>
            </w:tcMar>
            <w:vAlign w:val="center"/>
          </w:tcPr>
          <w:p>
            <w:pPr>
              <w:jc w:val="left"/>
            </w:pPr>
            <w:r>
              <w:rPr>
                <w:rFonts w:ascii="Arial" w:hAnsi="Arial"/>
                <w:b/>
                <w:sz w:val="15"/>
              </w:rPr>
              <w:t>Conclusion</w:t>
            </w:r>
          </w:p>
        </w:tc>
      </w:tr>
      <w:tr>
        <w:tc>
          <w:tcPr>
            <w:tcW w:type="dxa" w:w="2268"/>
            <w:tcMar>
              <w:top w:w="75" w:type="dxa"/>
              <w:start w:w="80" w:type="dxa"/>
              <w:bottom w:w="75" w:type="dxa"/>
              <w:end w:w="80" w:type="dxa"/>
            </w:tcMar>
            <w:vAlign w:val="top"/>
          </w:tcPr>
          <w:p>
            <w:pPr>
              <w:spacing w:after="0"/>
            </w:pPr>
            <w:r>
              <w:rPr>
                <w:rFonts w:ascii="Arial" w:hAnsi="Arial"/>
                <w:b/>
                <w:sz w:val="15"/>
              </w:rPr>
              <w:t>ARMA mean model</w:t>
            </w:r>
          </w:p>
        </w:tc>
        <w:tc>
          <w:tcPr>
            <w:tcW w:type="dxa" w:w="2381"/>
            <w:tcMar>
              <w:top w:w="75" w:type="dxa"/>
              <w:start w:w="80" w:type="dxa"/>
              <w:bottom w:w="75" w:type="dxa"/>
              <w:end w:w="80" w:type="dxa"/>
            </w:tcMar>
            <w:vAlign w:val="top"/>
          </w:tcPr>
          <w:p>
            <w:pPr>
              <w:spacing w:after="0"/>
            </w:pPr>
            <w:r>
              <w:rPr>
                <w:rFonts w:ascii="Arial" w:hAnsi="Arial"/>
                <w:b w:val="0"/>
                <w:sz w:val="15"/>
              </w:rPr>
              <w:t>IC ~0.008; R2 &lt;0.2%</w:t>
            </w:r>
          </w:p>
        </w:tc>
        <w:tc>
          <w:tcPr>
            <w:tcW w:type="dxa" w:w="2268"/>
            <w:tcMar>
              <w:top w:w="75" w:type="dxa"/>
              <w:start w:w="80" w:type="dxa"/>
              <w:bottom w:w="75" w:type="dxa"/>
              <w:end w:w="80" w:type="dxa"/>
            </w:tcMar>
            <w:vAlign w:val="top"/>
          </w:tcPr>
          <w:p>
            <w:pPr>
              <w:spacing w:after="0"/>
            </w:pPr>
            <w:r>
              <w:rPr>
                <w:rFonts w:ascii="Arial" w:hAnsi="Arial"/>
                <w:b w:val="0"/>
                <w:sz w:val="15"/>
              </w:rPr>
              <w:t>N/A</w:t>
            </w:r>
          </w:p>
        </w:tc>
        <w:tc>
          <w:tcPr>
            <w:tcW w:type="dxa" w:w="2835"/>
            <w:tcMar>
              <w:top w:w="75" w:type="dxa"/>
              <w:start w:w="80" w:type="dxa"/>
              <w:bottom w:w="75" w:type="dxa"/>
              <w:end w:w="80" w:type="dxa"/>
            </w:tcMar>
            <w:vAlign w:val="top"/>
          </w:tcPr>
          <w:p>
            <w:pPr>
              <w:spacing w:after="0"/>
            </w:pPr>
            <w:r>
              <w:rPr>
                <w:rFonts w:ascii="Arial" w:hAnsi="Arial"/>
                <w:b w:val="0"/>
                <w:sz w:val="15"/>
              </w:rPr>
              <w:t>No economically strong directional return forecast.</w:t>
            </w:r>
          </w:p>
        </w:tc>
      </w:tr>
      <w:tr>
        <w:tc>
          <w:tcPr>
            <w:tcW w:type="dxa" w:w="2268"/>
            <w:tcMar>
              <w:top w:w="75" w:type="dxa"/>
              <w:start w:w="80" w:type="dxa"/>
              <w:bottom w:w="75" w:type="dxa"/>
              <w:end w:w="80" w:type="dxa"/>
            </w:tcMar>
            <w:vAlign w:val="top"/>
          </w:tcPr>
          <w:p>
            <w:pPr>
              <w:spacing w:after="0"/>
            </w:pPr>
            <w:r>
              <w:rPr>
                <w:rFonts w:ascii="Arial" w:hAnsi="Arial"/>
                <w:b/>
                <w:sz w:val="15"/>
              </w:rPr>
              <w:t>20-day rolling volatility</w:t>
            </w:r>
          </w:p>
        </w:tc>
        <w:tc>
          <w:tcPr>
            <w:tcW w:type="dxa" w:w="2381"/>
            <w:tcMar>
              <w:top w:w="75" w:type="dxa"/>
              <w:start w:w="80" w:type="dxa"/>
              <w:bottom w:w="75" w:type="dxa"/>
              <w:end w:w="80" w:type="dxa"/>
            </w:tcMar>
            <w:vAlign w:val="top"/>
          </w:tcPr>
          <w:p>
            <w:pPr>
              <w:spacing w:after="0"/>
            </w:pPr>
            <w:r>
              <w:rPr>
                <w:rFonts w:ascii="Arial" w:hAnsi="Arial"/>
                <w:b w:val="0"/>
                <w:sz w:val="15"/>
              </w:rPr>
              <w:t>N/A</w:t>
            </w:r>
          </w:p>
        </w:tc>
        <w:tc>
          <w:tcPr>
            <w:tcW w:type="dxa" w:w="2268"/>
            <w:tcMar>
              <w:top w:w="75" w:type="dxa"/>
              <w:start w:w="80" w:type="dxa"/>
              <w:bottom w:w="75" w:type="dxa"/>
              <w:end w:w="80" w:type="dxa"/>
            </w:tcMar>
            <w:vAlign w:val="top"/>
          </w:tcPr>
          <w:p>
            <w:pPr>
              <w:spacing w:after="0"/>
            </w:pPr>
            <w:r>
              <w:rPr>
                <w:rFonts w:ascii="Arial" w:hAnsi="Arial"/>
                <w:b w:val="0"/>
                <w:sz w:val="15"/>
              </w:rPr>
              <w:t>Baseline 1.00x</w:t>
            </w:r>
          </w:p>
        </w:tc>
        <w:tc>
          <w:tcPr>
            <w:tcW w:type="dxa" w:w="2835"/>
            <w:tcMar>
              <w:top w:w="75" w:type="dxa"/>
              <w:start w:w="80" w:type="dxa"/>
              <w:bottom w:w="75" w:type="dxa"/>
              <w:end w:w="80" w:type="dxa"/>
            </w:tcMar>
            <w:vAlign w:val="top"/>
          </w:tcPr>
          <w:p>
            <w:pPr>
              <w:spacing w:after="0"/>
            </w:pPr>
            <w:r>
              <w:rPr>
                <w:rFonts w:ascii="Arial" w:hAnsi="Arial"/>
                <w:b w:val="0"/>
                <w:sz w:val="15"/>
              </w:rPr>
              <w:t>Simple benchmark.</w:t>
            </w:r>
          </w:p>
        </w:tc>
      </w:tr>
      <w:tr>
        <w:tc>
          <w:tcPr>
            <w:tcW w:type="dxa" w:w="2268"/>
            <w:tcMar>
              <w:top w:w="75" w:type="dxa"/>
              <w:start w:w="80" w:type="dxa"/>
              <w:bottom w:w="75" w:type="dxa"/>
              <w:end w:w="80" w:type="dxa"/>
            </w:tcMar>
            <w:vAlign w:val="top"/>
          </w:tcPr>
          <w:p>
            <w:pPr>
              <w:spacing w:after="0"/>
            </w:pPr>
            <w:r>
              <w:rPr>
                <w:rFonts w:ascii="Arial" w:hAnsi="Arial"/>
                <w:b/>
                <w:sz w:val="15"/>
              </w:rPr>
              <w:t>EWMA volatility</w:t>
            </w:r>
          </w:p>
        </w:tc>
        <w:tc>
          <w:tcPr>
            <w:tcW w:type="dxa" w:w="2381"/>
            <w:tcMar>
              <w:top w:w="75" w:type="dxa"/>
              <w:start w:w="80" w:type="dxa"/>
              <w:bottom w:w="75" w:type="dxa"/>
              <w:end w:w="80" w:type="dxa"/>
            </w:tcMar>
            <w:vAlign w:val="top"/>
          </w:tcPr>
          <w:p>
            <w:pPr>
              <w:spacing w:after="0"/>
            </w:pPr>
            <w:r>
              <w:rPr>
                <w:rFonts w:ascii="Arial" w:hAnsi="Arial"/>
                <w:b w:val="0"/>
                <w:sz w:val="15"/>
              </w:rPr>
              <w:t>N/A</w:t>
            </w:r>
          </w:p>
        </w:tc>
        <w:tc>
          <w:tcPr>
            <w:tcW w:type="dxa" w:w="2268"/>
            <w:tcMar>
              <w:top w:w="75" w:type="dxa"/>
              <w:start w:w="80" w:type="dxa"/>
              <w:bottom w:w="75" w:type="dxa"/>
              <w:end w:w="80" w:type="dxa"/>
            </w:tcMar>
            <w:vAlign w:val="top"/>
          </w:tcPr>
          <w:p>
            <w:pPr>
              <w:spacing w:after="0"/>
            </w:pPr>
            <w:r>
              <w:rPr>
                <w:rFonts w:ascii="Arial" w:hAnsi="Arial"/>
                <w:b w:val="0"/>
                <w:sz w:val="15"/>
              </w:rPr>
              <w:t>0.95x</w:t>
            </w:r>
          </w:p>
        </w:tc>
        <w:tc>
          <w:tcPr>
            <w:tcW w:type="dxa" w:w="2835"/>
            <w:tcMar>
              <w:top w:w="75" w:type="dxa"/>
              <w:start w:w="80" w:type="dxa"/>
              <w:bottom w:w="75" w:type="dxa"/>
              <w:end w:w="80" w:type="dxa"/>
            </w:tcMar>
            <w:vAlign w:val="top"/>
          </w:tcPr>
          <w:p>
            <w:pPr>
              <w:spacing w:after="0"/>
            </w:pPr>
            <w:r>
              <w:rPr>
                <w:rFonts w:ascii="Arial" w:hAnsi="Arial"/>
                <w:b w:val="0"/>
                <w:sz w:val="15"/>
              </w:rPr>
              <w:t>Small improvement.</w:t>
            </w:r>
          </w:p>
        </w:tc>
      </w:tr>
      <w:tr>
        <w:tc>
          <w:tcPr>
            <w:tcW w:type="dxa" w:w="2268"/>
            <w:tcMar>
              <w:top w:w="75" w:type="dxa"/>
              <w:start w:w="80" w:type="dxa"/>
              <w:bottom w:w="75" w:type="dxa"/>
              <w:end w:w="80" w:type="dxa"/>
            </w:tcMar>
            <w:vAlign w:val="top"/>
          </w:tcPr>
          <w:p>
            <w:pPr>
              <w:spacing w:after="0"/>
            </w:pPr>
            <w:r>
              <w:rPr>
                <w:rFonts w:ascii="Arial" w:hAnsi="Arial"/>
                <w:b/>
                <w:sz w:val="15"/>
              </w:rPr>
              <w:t>GARCH(1,1)</w:t>
            </w:r>
          </w:p>
        </w:tc>
        <w:tc>
          <w:tcPr>
            <w:tcW w:type="dxa" w:w="2381"/>
            <w:tcMar>
              <w:top w:w="75" w:type="dxa"/>
              <w:start w:w="80" w:type="dxa"/>
              <w:bottom w:w="75" w:type="dxa"/>
              <w:end w:w="80" w:type="dxa"/>
            </w:tcMar>
            <w:vAlign w:val="top"/>
          </w:tcPr>
          <w:p>
            <w:pPr>
              <w:spacing w:after="0"/>
            </w:pPr>
            <w:r>
              <w:rPr>
                <w:rFonts w:ascii="Arial" w:hAnsi="Arial"/>
                <w:b w:val="0"/>
                <w:sz w:val="15"/>
              </w:rPr>
              <w:t>N/A</w:t>
            </w:r>
          </w:p>
        </w:tc>
        <w:tc>
          <w:tcPr>
            <w:tcW w:type="dxa" w:w="2268"/>
            <w:tcMar>
              <w:top w:w="75" w:type="dxa"/>
              <w:start w:w="80" w:type="dxa"/>
              <w:bottom w:w="75" w:type="dxa"/>
              <w:end w:w="80" w:type="dxa"/>
            </w:tcMar>
            <w:vAlign w:val="top"/>
          </w:tcPr>
          <w:p>
            <w:pPr>
              <w:spacing w:after="0"/>
            </w:pPr>
            <w:r>
              <w:rPr>
                <w:rFonts w:ascii="Arial" w:hAnsi="Arial"/>
                <w:b w:val="0"/>
                <w:sz w:val="15"/>
              </w:rPr>
              <w:t>0.89x</w:t>
            </w:r>
          </w:p>
        </w:tc>
        <w:tc>
          <w:tcPr>
            <w:tcW w:type="dxa" w:w="2835"/>
            <w:tcMar>
              <w:top w:w="75" w:type="dxa"/>
              <w:start w:w="80" w:type="dxa"/>
              <w:bottom w:w="75" w:type="dxa"/>
              <w:end w:w="80" w:type="dxa"/>
            </w:tcMar>
            <w:vAlign w:val="top"/>
          </w:tcPr>
          <w:p>
            <w:pPr>
              <w:spacing w:after="0"/>
            </w:pPr>
            <w:r>
              <w:rPr>
                <w:rFonts w:ascii="Arial" w:hAnsi="Arial"/>
                <w:b w:val="0"/>
                <w:sz w:val="15"/>
              </w:rPr>
              <w:t>~11% lower error than rolling baseline.</w:t>
            </w:r>
          </w:p>
        </w:tc>
      </w:tr>
    </w:tbl>
    <w:p>
      <w:pPr>
        <w:spacing w:after="0"/>
      </w:pPr>
    </w:p>
    <w:p>
      <w:pPr>
        <w:keepNext w:val="0"/>
        <w:spacing w:after="100" w:line="252" w:lineRule="auto"/>
      </w:pPr>
      <w:r>
        <w:rPr>
          <w:rFonts w:ascii="Arial" w:hAnsi="Arial"/>
          <w:i w:val="0"/>
        </w:rPr>
        <w:t>This is a useful interview point: a time-series model can be valuable for volatility/risk even when it has almost no directional-return alpha.</w:t>
      </w:r>
    </w:p>
    <w:p>
      <w:pPr>
        <w:pStyle w:val="Heading2"/>
        <w:keepNext/>
        <w:spacing w:before="160" w:after="100"/>
      </w:pPr>
      <w:r>
        <w:rPr>
          <w:rFonts w:ascii="Arial" w:hAnsi="Arial"/>
          <w:b/>
          <w:sz w:val="25"/>
        </w:rPr>
        <w:t>5.5 Example E - liquidity and capacity</w:t>
      </w:r>
    </w:p>
    <w:p>
      <w:pPr>
        <w:keepNext w:val="0"/>
        <w:spacing w:after="100" w:line="252" w:lineRule="auto"/>
      </w:pPr>
      <w:r>
        <w:rPr>
          <w:rFonts w:ascii="Arial" w:hAnsi="Arial"/>
          <w:i w:val="0"/>
        </w:rPr>
        <w:t>Liquidity asks whether a given quantity can be traded promptly at an acceptable cost. Capacity asks how much capital or notional a strategy can deploy before spread, impact, opportunity scarcity and constraints erode the edge. Historical exchange volume alone is not a capacity estimate.</w:t>
      </w:r>
    </w:p>
    <w:p>
      <w:pPr>
        <w:keepLines/>
        <w:spacing w:before="60" w:after="80"/>
        <w:ind w:left="312" w:right="170"/>
        <w:jc w:val="center"/>
      </w:pPr>
      <w:r>
        <w:rPr>
          <w:rFonts w:ascii="Cambria Math" w:hAnsi="Cambria Math" w:eastAsia="Cambria Math" w:cs="Cambria Math"/>
          <w:sz w:val="21"/>
        </w:rPr>
        <w:t>net_edge(size) = gross_alpha − spread − fees − impact(size) − delay_cost(size)</w:t>
      </w:r>
    </w:p>
    <w:p>
      <w:pPr>
        <w:keepLines/>
        <w:spacing w:before="60" w:after="80"/>
        <w:ind w:left="312" w:right="170"/>
        <w:jc w:val="center"/>
      </w:pPr>
      <w:r>
        <w:rPr>
          <w:rFonts w:ascii="Cambria Math" w:hAnsi="Cambria Math" w:eastAsia="Cambria Math" w:cs="Cambria Math"/>
          <w:sz w:val="21"/>
        </w:rPr>
        <w:t>illustrative impact(size) = k · √(participation_rate)</w:t>
      </w:r>
    </w:p>
    <w:p>
      <w:pPr>
        <w:pStyle w:val="Heading3"/>
        <w:keepNext/>
        <w:spacing w:before="160" w:after="100"/>
      </w:pPr>
      <w:r>
        <w:rPr>
          <w:rFonts w:ascii="Arial" w:hAnsi="Arial"/>
          <w:b/>
          <w:sz w:val="21"/>
        </w:rPr>
        <w:t>5.5.1 Illustrative capacity experiment</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673"/>
        <w:gridCol w:w="1673"/>
        <w:gridCol w:w="1673"/>
        <w:gridCol w:w="1673"/>
        <w:gridCol w:w="1673"/>
        <w:gridCol w:w="1673"/>
      </w:tblGrid>
      <w:tr>
        <w:trPr>
          <w:tblHeader w:val="true"/>
        </w:trPr>
        <w:tc>
          <w:tcPr>
            <w:tcW w:type="dxa" w:w="1814"/>
            <w:shd w:fill="D9E1F2"/>
            <w:tcMar>
              <w:top w:w="80" w:type="dxa"/>
              <w:start w:w="80" w:type="dxa"/>
              <w:bottom w:w="80" w:type="dxa"/>
              <w:end w:w="80" w:type="dxa"/>
            </w:tcMar>
            <w:vAlign w:val="center"/>
          </w:tcPr>
          <w:p>
            <w:pPr>
              <w:jc w:val="left"/>
            </w:pPr>
            <w:r>
              <w:rPr>
                <w:rFonts w:ascii="Arial" w:hAnsi="Arial"/>
                <w:b/>
                <w:sz w:val="14"/>
              </w:rPr>
              <w:t>Daily notional</w:t>
            </w:r>
          </w:p>
        </w:tc>
        <w:tc>
          <w:tcPr>
            <w:tcW w:type="dxa" w:w="1531"/>
            <w:shd w:fill="D9E1F2"/>
            <w:tcMar>
              <w:top w:w="80" w:type="dxa"/>
              <w:start w:w="80" w:type="dxa"/>
              <w:bottom w:w="80" w:type="dxa"/>
              <w:end w:w="80" w:type="dxa"/>
            </w:tcMar>
            <w:vAlign w:val="center"/>
          </w:tcPr>
          <w:p>
            <w:pPr>
              <w:jc w:val="left"/>
            </w:pPr>
            <w:r>
              <w:rPr>
                <w:rFonts w:ascii="Arial" w:hAnsi="Arial"/>
                <w:b/>
                <w:sz w:val="14"/>
              </w:rPr>
              <w:t>Participation</w:t>
            </w:r>
          </w:p>
        </w:tc>
        <w:tc>
          <w:tcPr>
            <w:tcW w:type="dxa" w:w="1587"/>
            <w:shd w:fill="D9E1F2"/>
            <w:tcMar>
              <w:top w:w="80" w:type="dxa"/>
              <w:start w:w="80" w:type="dxa"/>
              <w:bottom w:w="80" w:type="dxa"/>
              <w:end w:w="80" w:type="dxa"/>
            </w:tcMar>
            <w:vAlign w:val="center"/>
          </w:tcPr>
          <w:p>
            <w:pPr>
              <w:jc w:val="left"/>
            </w:pPr>
            <w:r>
              <w:rPr>
                <w:rFonts w:ascii="Arial" w:hAnsi="Arial"/>
                <w:b/>
                <w:sz w:val="14"/>
              </w:rPr>
              <w:t>Gross alpha</w:t>
            </w:r>
          </w:p>
        </w:tc>
        <w:tc>
          <w:tcPr>
            <w:tcW w:type="dxa" w:w="2154"/>
            <w:shd w:fill="D9E1F2"/>
            <w:tcMar>
              <w:top w:w="80" w:type="dxa"/>
              <w:start w:w="80" w:type="dxa"/>
              <w:bottom w:w="80" w:type="dxa"/>
              <w:end w:w="80" w:type="dxa"/>
            </w:tcMar>
            <w:vAlign w:val="center"/>
          </w:tcPr>
          <w:p>
            <w:pPr>
              <w:jc w:val="left"/>
            </w:pPr>
            <w:r>
              <w:rPr>
                <w:rFonts w:ascii="Arial" w:hAnsi="Arial"/>
                <w:b/>
                <w:sz w:val="14"/>
              </w:rPr>
              <w:t>Estimated all-in cost</w:t>
            </w:r>
          </w:p>
        </w:tc>
        <w:tc>
          <w:tcPr>
            <w:tcW w:type="dxa" w:w="1587"/>
            <w:shd w:fill="D9E1F2"/>
            <w:tcMar>
              <w:top w:w="80" w:type="dxa"/>
              <w:start w:w="80" w:type="dxa"/>
              <w:bottom w:w="80" w:type="dxa"/>
              <w:end w:w="80" w:type="dxa"/>
            </w:tcMar>
            <w:vAlign w:val="center"/>
          </w:tcPr>
          <w:p>
            <w:pPr>
              <w:jc w:val="left"/>
            </w:pPr>
            <w:r>
              <w:rPr>
                <w:rFonts w:ascii="Arial" w:hAnsi="Arial"/>
                <w:b/>
                <w:sz w:val="14"/>
              </w:rPr>
              <w:t>Net alpha</w:t>
            </w:r>
          </w:p>
        </w:tc>
        <w:tc>
          <w:tcPr>
            <w:tcW w:type="dxa" w:w="2324"/>
            <w:shd w:fill="D9E1F2"/>
            <w:tcMar>
              <w:top w:w="80" w:type="dxa"/>
              <w:start w:w="80" w:type="dxa"/>
              <w:bottom w:w="80" w:type="dxa"/>
              <w:end w:w="80" w:type="dxa"/>
            </w:tcMar>
            <w:vAlign w:val="center"/>
          </w:tcPr>
          <w:p>
            <w:pPr>
              <w:jc w:val="left"/>
            </w:pPr>
            <w:r>
              <w:rPr>
                <w:rFonts w:ascii="Arial" w:hAnsi="Arial"/>
                <w:b/>
                <w:sz w:val="14"/>
              </w:rPr>
              <w:t>Readout</w:t>
            </w:r>
          </w:p>
        </w:tc>
      </w:tr>
      <w:tr>
        <w:tc>
          <w:tcPr>
            <w:tcW w:type="dxa" w:w="1814"/>
            <w:tcMar>
              <w:top w:w="75" w:type="dxa"/>
              <w:start w:w="80" w:type="dxa"/>
              <w:bottom w:w="75" w:type="dxa"/>
              <w:end w:w="80" w:type="dxa"/>
            </w:tcMar>
            <w:vAlign w:val="top"/>
          </w:tcPr>
          <w:p>
            <w:pPr>
              <w:spacing w:after="0"/>
            </w:pPr>
            <w:r>
              <w:rPr>
                <w:rFonts w:ascii="Arial" w:hAnsi="Arial"/>
                <w:b/>
                <w:sz w:val="14"/>
              </w:rPr>
              <w:t>£5m</w:t>
            </w:r>
          </w:p>
        </w:tc>
        <w:tc>
          <w:tcPr>
            <w:tcW w:type="dxa" w:w="1531"/>
            <w:tcMar>
              <w:top w:w="75" w:type="dxa"/>
              <w:start w:w="80" w:type="dxa"/>
              <w:bottom w:w="75" w:type="dxa"/>
              <w:end w:w="80" w:type="dxa"/>
            </w:tcMar>
            <w:vAlign w:val="top"/>
          </w:tcPr>
          <w:p>
            <w:pPr>
              <w:spacing w:after="0"/>
            </w:pPr>
            <w:r>
              <w:rPr>
                <w:rFonts w:ascii="Arial" w:hAnsi="Arial"/>
                <w:b w:val="0"/>
                <w:sz w:val="14"/>
              </w:rPr>
              <w:t>1%</w:t>
            </w:r>
          </w:p>
        </w:tc>
        <w:tc>
          <w:tcPr>
            <w:tcW w:type="dxa" w:w="1587"/>
            <w:tcMar>
              <w:top w:w="75" w:type="dxa"/>
              <w:start w:w="80" w:type="dxa"/>
              <w:bottom w:w="75" w:type="dxa"/>
              <w:end w:w="80" w:type="dxa"/>
            </w:tcMar>
            <w:vAlign w:val="top"/>
          </w:tcPr>
          <w:p>
            <w:pPr>
              <w:spacing w:after="0"/>
            </w:pPr>
            <w:r>
              <w:rPr>
                <w:rFonts w:ascii="Arial" w:hAnsi="Arial"/>
                <w:b w:val="0"/>
                <w:sz w:val="14"/>
              </w:rPr>
              <w:t>8.0 bp</w:t>
            </w:r>
          </w:p>
        </w:tc>
        <w:tc>
          <w:tcPr>
            <w:tcW w:type="dxa" w:w="2154"/>
            <w:tcMar>
              <w:top w:w="75" w:type="dxa"/>
              <w:start w:w="80" w:type="dxa"/>
              <w:bottom w:w="75" w:type="dxa"/>
              <w:end w:w="80" w:type="dxa"/>
            </w:tcMar>
            <w:vAlign w:val="top"/>
          </w:tcPr>
          <w:p>
            <w:pPr>
              <w:spacing w:after="0"/>
            </w:pPr>
            <w:r>
              <w:rPr>
                <w:rFonts w:ascii="Arial" w:hAnsi="Arial"/>
                <w:b w:val="0"/>
                <w:sz w:val="14"/>
              </w:rPr>
              <w:t>1.5 bp</w:t>
            </w:r>
          </w:p>
        </w:tc>
        <w:tc>
          <w:tcPr>
            <w:tcW w:type="dxa" w:w="1587"/>
            <w:tcMar>
              <w:top w:w="75" w:type="dxa"/>
              <w:start w:w="80" w:type="dxa"/>
              <w:bottom w:w="75" w:type="dxa"/>
              <w:end w:w="80" w:type="dxa"/>
            </w:tcMar>
            <w:vAlign w:val="top"/>
          </w:tcPr>
          <w:p>
            <w:pPr>
              <w:spacing w:after="0"/>
            </w:pPr>
            <w:r>
              <w:rPr>
                <w:rFonts w:ascii="Arial" w:hAnsi="Arial"/>
                <w:b w:val="0"/>
                <w:sz w:val="14"/>
              </w:rPr>
              <w:t>6.5 bp</w:t>
            </w:r>
          </w:p>
        </w:tc>
        <w:tc>
          <w:tcPr>
            <w:tcW w:type="dxa" w:w="2324"/>
            <w:tcMar>
              <w:top w:w="75" w:type="dxa"/>
              <w:start w:w="80" w:type="dxa"/>
              <w:bottom w:w="75" w:type="dxa"/>
              <w:end w:w="80" w:type="dxa"/>
            </w:tcMar>
            <w:vAlign w:val="top"/>
          </w:tcPr>
          <w:p>
            <w:pPr>
              <w:spacing w:after="0"/>
            </w:pPr>
            <w:r>
              <w:rPr>
                <w:rFonts w:ascii="Arial" w:hAnsi="Arial"/>
                <w:b w:val="0"/>
                <w:sz w:val="14"/>
              </w:rPr>
              <w:t>Low impact.</w:t>
            </w:r>
          </w:p>
        </w:tc>
      </w:tr>
      <w:tr>
        <w:tc>
          <w:tcPr>
            <w:tcW w:type="dxa" w:w="1814"/>
            <w:tcMar>
              <w:top w:w="75" w:type="dxa"/>
              <w:start w:w="80" w:type="dxa"/>
              <w:bottom w:w="75" w:type="dxa"/>
              <w:end w:w="80" w:type="dxa"/>
            </w:tcMar>
            <w:vAlign w:val="top"/>
          </w:tcPr>
          <w:p>
            <w:pPr>
              <w:spacing w:after="0"/>
            </w:pPr>
            <w:r>
              <w:rPr>
                <w:rFonts w:ascii="Arial" w:hAnsi="Arial"/>
                <w:b/>
                <w:sz w:val="14"/>
              </w:rPr>
              <w:t>£20m</w:t>
            </w:r>
          </w:p>
        </w:tc>
        <w:tc>
          <w:tcPr>
            <w:tcW w:type="dxa" w:w="1531"/>
            <w:tcMar>
              <w:top w:w="75" w:type="dxa"/>
              <w:start w:w="80" w:type="dxa"/>
              <w:bottom w:w="75" w:type="dxa"/>
              <w:end w:w="80" w:type="dxa"/>
            </w:tcMar>
            <w:vAlign w:val="top"/>
          </w:tcPr>
          <w:p>
            <w:pPr>
              <w:spacing w:after="0"/>
            </w:pPr>
            <w:r>
              <w:rPr>
                <w:rFonts w:ascii="Arial" w:hAnsi="Arial"/>
                <w:b w:val="0"/>
                <w:sz w:val="14"/>
              </w:rPr>
              <w:t>4%</w:t>
            </w:r>
          </w:p>
        </w:tc>
        <w:tc>
          <w:tcPr>
            <w:tcW w:type="dxa" w:w="1587"/>
            <w:tcMar>
              <w:top w:w="75" w:type="dxa"/>
              <w:start w:w="80" w:type="dxa"/>
              <w:bottom w:w="75" w:type="dxa"/>
              <w:end w:w="80" w:type="dxa"/>
            </w:tcMar>
            <w:vAlign w:val="top"/>
          </w:tcPr>
          <w:p>
            <w:pPr>
              <w:spacing w:after="0"/>
            </w:pPr>
            <w:r>
              <w:rPr>
                <w:rFonts w:ascii="Arial" w:hAnsi="Arial"/>
                <w:b w:val="0"/>
                <w:sz w:val="14"/>
              </w:rPr>
              <w:t>8.0 bp</w:t>
            </w:r>
          </w:p>
        </w:tc>
        <w:tc>
          <w:tcPr>
            <w:tcW w:type="dxa" w:w="2154"/>
            <w:tcMar>
              <w:top w:w="75" w:type="dxa"/>
              <w:start w:w="80" w:type="dxa"/>
              <w:bottom w:w="75" w:type="dxa"/>
              <w:end w:w="80" w:type="dxa"/>
            </w:tcMar>
            <w:vAlign w:val="top"/>
          </w:tcPr>
          <w:p>
            <w:pPr>
              <w:spacing w:after="0"/>
            </w:pPr>
            <w:r>
              <w:rPr>
                <w:rFonts w:ascii="Arial" w:hAnsi="Arial"/>
                <w:b w:val="0"/>
                <w:sz w:val="14"/>
              </w:rPr>
              <w:t>2.5 bp</w:t>
            </w:r>
          </w:p>
        </w:tc>
        <w:tc>
          <w:tcPr>
            <w:tcW w:type="dxa" w:w="1587"/>
            <w:tcMar>
              <w:top w:w="75" w:type="dxa"/>
              <w:start w:w="80" w:type="dxa"/>
              <w:bottom w:w="75" w:type="dxa"/>
              <w:end w:w="80" w:type="dxa"/>
            </w:tcMar>
            <w:vAlign w:val="top"/>
          </w:tcPr>
          <w:p>
            <w:pPr>
              <w:spacing w:after="0"/>
            </w:pPr>
            <w:r>
              <w:rPr>
                <w:rFonts w:ascii="Arial" w:hAnsi="Arial"/>
                <w:b w:val="0"/>
                <w:sz w:val="14"/>
              </w:rPr>
              <w:t>5.5 bp</w:t>
            </w:r>
          </w:p>
        </w:tc>
        <w:tc>
          <w:tcPr>
            <w:tcW w:type="dxa" w:w="2324"/>
            <w:tcMar>
              <w:top w:w="75" w:type="dxa"/>
              <w:start w:w="80" w:type="dxa"/>
              <w:bottom w:w="75" w:type="dxa"/>
              <w:end w:w="80" w:type="dxa"/>
            </w:tcMar>
            <w:vAlign w:val="top"/>
          </w:tcPr>
          <w:p>
            <w:pPr>
              <w:spacing w:after="0"/>
            </w:pPr>
            <w:r>
              <w:rPr>
                <w:rFonts w:ascii="Arial" w:hAnsi="Arial"/>
                <w:b w:val="0"/>
                <w:sz w:val="14"/>
              </w:rPr>
              <w:t>Still attractive.</w:t>
            </w:r>
          </w:p>
        </w:tc>
      </w:tr>
      <w:tr>
        <w:tc>
          <w:tcPr>
            <w:tcW w:type="dxa" w:w="1814"/>
            <w:tcMar>
              <w:top w:w="75" w:type="dxa"/>
              <w:start w:w="80" w:type="dxa"/>
              <w:bottom w:w="75" w:type="dxa"/>
              <w:end w:w="80" w:type="dxa"/>
            </w:tcMar>
            <w:vAlign w:val="top"/>
          </w:tcPr>
          <w:p>
            <w:pPr>
              <w:spacing w:after="0"/>
            </w:pPr>
            <w:r>
              <w:rPr>
                <w:rFonts w:ascii="Arial" w:hAnsi="Arial"/>
                <w:b/>
                <w:sz w:val="14"/>
              </w:rPr>
              <w:t>£50m</w:t>
            </w:r>
          </w:p>
        </w:tc>
        <w:tc>
          <w:tcPr>
            <w:tcW w:type="dxa" w:w="1531"/>
            <w:tcMar>
              <w:top w:w="75" w:type="dxa"/>
              <w:start w:w="80" w:type="dxa"/>
              <w:bottom w:w="75" w:type="dxa"/>
              <w:end w:w="80" w:type="dxa"/>
            </w:tcMar>
            <w:vAlign w:val="top"/>
          </w:tcPr>
          <w:p>
            <w:pPr>
              <w:spacing w:after="0"/>
            </w:pPr>
            <w:r>
              <w:rPr>
                <w:rFonts w:ascii="Arial" w:hAnsi="Arial"/>
                <w:b w:val="0"/>
                <w:sz w:val="14"/>
              </w:rPr>
              <w:t>10%</w:t>
            </w:r>
          </w:p>
        </w:tc>
        <w:tc>
          <w:tcPr>
            <w:tcW w:type="dxa" w:w="1587"/>
            <w:tcMar>
              <w:top w:w="75" w:type="dxa"/>
              <w:start w:w="80" w:type="dxa"/>
              <w:bottom w:w="75" w:type="dxa"/>
              <w:end w:w="80" w:type="dxa"/>
            </w:tcMar>
            <w:vAlign w:val="top"/>
          </w:tcPr>
          <w:p>
            <w:pPr>
              <w:spacing w:after="0"/>
            </w:pPr>
            <w:r>
              <w:rPr>
                <w:rFonts w:ascii="Arial" w:hAnsi="Arial"/>
                <w:b w:val="0"/>
                <w:sz w:val="14"/>
              </w:rPr>
              <w:t>8.0 bp</w:t>
            </w:r>
          </w:p>
        </w:tc>
        <w:tc>
          <w:tcPr>
            <w:tcW w:type="dxa" w:w="2154"/>
            <w:tcMar>
              <w:top w:w="75" w:type="dxa"/>
              <w:start w:w="80" w:type="dxa"/>
              <w:bottom w:w="75" w:type="dxa"/>
              <w:end w:w="80" w:type="dxa"/>
            </w:tcMar>
            <w:vAlign w:val="top"/>
          </w:tcPr>
          <w:p>
            <w:pPr>
              <w:spacing w:after="0"/>
            </w:pPr>
            <w:r>
              <w:rPr>
                <w:rFonts w:ascii="Arial" w:hAnsi="Arial"/>
                <w:b w:val="0"/>
                <w:sz w:val="14"/>
              </w:rPr>
              <w:t>4.1 bp</w:t>
            </w:r>
          </w:p>
        </w:tc>
        <w:tc>
          <w:tcPr>
            <w:tcW w:type="dxa" w:w="1587"/>
            <w:tcMar>
              <w:top w:w="75" w:type="dxa"/>
              <w:start w:w="80" w:type="dxa"/>
              <w:bottom w:w="75" w:type="dxa"/>
              <w:end w:w="80" w:type="dxa"/>
            </w:tcMar>
            <w:vAlign w:val="top"/>
          </w:tcPr>
          <w:p>
            <w:pPr>
              <w:spacing w:after="0"/>
            </w:pPr>
            <w:r>
              <w:rPr>
                <w:rFonts w:ascii="Arial" w:hAnsi="Arial"/>
                <w:b w:val="0"/>
                <w:sz w:val="14"/>
              </w:rPr>
              <w:t>3.9 bp</w:t>
            </w:r>
          </w:p>
        </w:tc>
        <w:tc>
          <w:tcPr>
            <w:tcW w:type="dxa" w:w="2324"/>
            <w:tcMar>
              <w:top w:w="75" w:type="dxa"/>
              <w:start w:w="80" w:type="dxa"/>
              <w:bottom w:w="75" w:type="dxa"/>
              <w:end w:w="80" w:type="dxa"/>
            </w:tcMar>
            <w:vAlign w:val="top"/>
          </w:tcPr>
          <w:p>
            <w:pPr>
              <w:spacing w:after="0"/>
            </w:pPr>
            <w:r>
              <w:rPr>
                <w:rFonts w:ascii="Arial" w:hAnsi="Arial"/>
                <w:b w:val="0"/>
                <w:sz w:val="14"/>
              </w:rPr>
              <w:t>Edge roughly halved.</w:t>
            </w:r>
          </w:p>
        </w:tc>
      </w:tr>
      <w:tr>
        <w:tc>
          <w:tcPr>
            <w:tcW w:type="dxa" w:w="1814"/>
            <w:tcMar>
              <w:top w:w="75" w:type="dxa"/>
              <w:start w:w="80" w:type="dxa"/>
              <w:bottom w:w="75" w:type="dxa"/>
              <w:end w:w="80" w:type="dxa"/>
            </w:tcMar>
            <w:vAlign w:val="top"/>
          </w:tcPr>
          <w:p>
            <w:pPr>
              <w:spacing w:after="0"/>
            </w:pPr>
            <w:r>
              <w:rPr>
                <w:rFonts w:ascii="Arial" w:hAnsi="Arial"/>
                <w:b/>
                <w:sz w:val="14"/>
              </w:rPr>
              <w:t>£100m</w:t>
            </w:r>
          </w:p>
        </w:tc>
        <w:tc>
          <w:tcPr>
            <w:tcW w:type="dxa" w:w="1531"/>
            <w:tcMar>
              <w:top w:w="75" w:type="dxa"/>
              <w:start w:w="80" w:type="dxa"/>
              <w:bottom w:w="75" w:type="dxa"/>
              <w:end w:w="80" w:type="dxa"/>
            </w:tcMar>
            <w:vAlign w:val="top"/>
          </w:tcPr>
          <w:p>
            <w:pPr>
              <w:spacing w:after="0"/>
            </w:pPr>
            <w:r>
              <w:rPr>
                <w:rFonts w:ascii="Arial" w:hAnsi="Arial"/>
                <w:b w:val="0"/>
                <w:sz w:val="14"/>
              </w:rPr>
              <w:t>20%</w:t>
            </w:r>
          </w:p>
        </w:tc>
        <w:tc>
          <w:tcPr>
            <w:tcW w:type="dxa" w:w="1587"/>
            <w:tcMar>
              <w:top w:w="75" w:type="dxa"/>
              <w:start w:w="80" w:type="dxa"/>
              <w:bottom w:w="75" w:type="dxa"/>
              <w:end w:w="80" w:type="dxa"/>
            </w:tcMar>
            <w:vAlign w:val="top"/>
          </w:tcPr>
          <w:p>
            <w:pPr>
              <w:spacing w:after="0"/>
            </w:pPr>
            <w:r>
              <w:rPr>
                <w:rFonts w:ascii="Arial" w:hAnsi="Arial"/>
                <w:b w:val="0"/>
                <w:sz w:val="14"/>
              </w:rPr>
              <w:t>8.0 bp</w:t>
            </w:r>
          </w:p>
        </w:tc>
        <w:tc>
          <w:tcPr>
            <w:tcW w:type="dxa" w:w="2154"/>
            <w:tcMar>
              <w:top w:w="75" w:type="dxa"/>
              <w:start w:w="80" w:type="dxa"/>
              <w:bottom w:w="75" w:type="dxa"/>
              <w:end w:w="80" w:type="dxa"/>
            </w:tcMar>
            <w:vAlign w:val="top"/>
          </w:tcPr>
          <w:p>
            <w:pPr>
              <w:spacing w:after="0"/>
            </w:pPr>
            <w:r>
              <w:rPr>
                <w:rFonts w:ascii="Arial" w:hAnsi="Arial"/>
                <w:b w:val="0"/>
                <w:sz w:val="14"/>
              </w:rPr>
              <w:t>6.2 bp</w:t>
            </w:r>
          </w:p>
        </w:tc>
        <w:tc>
          <w:tcPr>
            <w:tcW w:type="dxa" w:w="1587"/>
            <w:tcMar>
              <w:top w:w="75" w:type="dxa"/>
              <w:start w:w="80" w:type="dxa"/>
              <w:bottom w:w="75" w:type="dxa"/>
              <w:end w:w="80" w:type="dxa"/>
            </w:tcMar>
            <w:vAlign w:val="top"/>
          </w:tcPr>
          <w:p>
            <w:pPr>
              <w:spacing w:after="0"/>
            </w:pPr>
            <w:r>
              <w:rPr>
                <w:rFonts w:ascii="Arial" w:hAnsi="Arial"/>
                <w:b w:val="0"/>
                <w:sz w:val="14"/>
              </w:rPr>
              <w:t>1.8 bp</w:t>
            </w:r>
          </w:p>
        </w:tc>
        <w:tc>
          <w:tcPr>
            <w:tcW w:type="dxa" w:w="2324"/>
            <w:tcMar>
              <w:top w:w="75" w:type="dxa"/>
              <w:start w:w="80" w:type="dxa"/>
              <w:bottom w:w="75" w:type="dxa"/>
              <w:end w:w="80" w:type="dxa"/>
            </w:tcMar>
            <w:vAlign w:val="top"/>
          </w:tcPr>
          <w:p>
            <w:pPr>
              <w:spacing w:after="0"/>
            </w:pPr>
            <w:r>
              <w:rPr>
                <w:rFonts w:ascii="Arial" w:hAnsi="Arial"/>
                <w:b w:val="0"/>
                <w:sz w:val="14"/>
              </w:rPr>
              <w:t>Capacity becoming binding.</w:t>
            </w:r>
          </w:p>
        </w:tc>
      </w:tr>
      <w:tr>
        <w:tc>
          <w:tcPr>
            <w:tcW w:type="dxa" w:w="1814"/>
            <w:tcMar>
              <w:top w:w="75" w:type="dxa"/>
              <w:start w:w="80" w:type="dxa"/>
              <w:bottom w:w="75" w:type="dxa"/>
              <w:end w:w="80" w:type="dxa"/>
            </w:tcMar>
            <w:vAlign w:val="top"/>
          </w:tcPr>
          <w:p>
            <w:pPr>
              <w:spacing w:after="0"/>
            </w:pPr>
            <w:r>
              <w:rPr>
                <w:rFonts w:ascii="Arial" w:hAnsi="Arial"/>
                <w:b/>
                <w:sz w:val="14"/>
              </w:rPr>
              <w:t>£150m</w:t>
            </w:r>
          </w:p>
        </w:tc>
        <w:tc>
          <w:tcPr>
            <w:tcW w:type="dxa" w:w="1531"/>
            <w:tcMar>
              <w:top w:w="75" w:type="dxa"/>
              <w:start w:w="80" w:type="dxa"/>
              <w:bottom w:w="75" w:type="dxa"/>
              <w:end w:w="80" w:type="dxa"/>
            </w:tcMar>
            <w:vAlign w:val="top"/>
          </w:tcPr>
          <w:p>
            <w:pPr>
              <w:spacing w:after="0"/>
            </w:pPr>
            <w:r>
              <w:rPr>
                <w:rFonts w:ascii="Arial" w:hAnsi="Arial"/>
                <w:b w:val="0"/>
                <w:sz w:val="14"/>
              </w:rPr>
              <w:t>30%</w:t>
            </w:r>
          </w:p>
        </w:tc>
        <w:tc>
          <w:tcPr>
            <w:tcW w:type="dxa" w:w="1587"/>
            <w:tcMar>
              <w:top w:w="75" w:type="dxa"/>
              <w:start w:w="80" w:type="dxa"/>
              <w:bottom w:w="75" w:type="dxa"/>
              <w:end w:w="80" w:type="dxa"/>
            </w:tcMar>
            <w:vAlign w:val="top"/>
          </w:tcPr>
          <w:p>
            <w:pPr>
              <w:spacing w:after="0"/>
            </w:pPr>
            <w:r>
              <w:rPr>
                <w:rFonts w:ascii="Arial" w:hAnsi="Arial"/>
                <w:b w:val="0"/>
                <w:sz w:val="14"/>
              </w:rPr>
              <w:t>8.0 bp</w:t>
            </w:r>
          </w:p>
        </w:tc>
        <w:tc>
          <w:tcPr>
            <w:tcW w:type="dxa" w:w="2154"/>
            <w:tcMar>
              <w:top w:w="75" w:type="dxa"/>
              <w:start w:w="80" w:type="dxa"/>
              <w:bottom w:w="75" w:type="dxa"/>
              <w:end w:w="80" w:type="dxa"/>
            </w:tcMar>
            <w:vAlign w:val="top"/>
          </w:tcPr>
          <w:p>
            <w:pPr>
              <w:spacing w:after="0"/>
            </w:pPr>
            <w:r>
              <w:rPr>
                <w:rFonts w:ascii="Arial" w:hAnsi="Arial"/>
                <w:b w:val="0"/>
                <w:sz w:val="14"/>
              </w:rPr>
              <w:t>8.4 bp</w:t>
            </w:r>
          </w:p>
        </w:tc>
        <w:tc>
          <w:tcPr>
            <w:tcW w:type="dxa" w:w="1587"/>
            <w:tcMar>
              <w:top w:w="75" w:type="dxa"/>
              <w:start w:w="80" w:type="dxa"/>
              <w:bottom w:w="75" w:type="dxa"/>
              <w:end w:w="80" w:type="dxa"/>
            </w:tcMar>
            <w:vAlign w:val="top"/>
          </w:tcPr>
          <w:p>
            <w:pPr>
              <w:spacing w:after="0"/>
            </w:pPr>
            <w:r>
              <w:rPr>
                <w:rFonts w:ascii="Arial" w:hAnsi="Arial"/>
                <w:b w:val="0"/>
                <w:sz w:val="14"/>
              </w:rPr>
              <w:t>-0.4 bp</w:t>
            </w:r>
          </w:p>
        </w:tc>
        <w:tc>
          <w:tcPr>
            <w:tcW w:type="dxa" w:w="2324"/>
            <w:tcMar>
              <w:top w:w="75" w:type="dxa"/>
              <w:start w:w="80" w:type="dxa"/>
              <w:bottom w:w="75" w:type="dxa"/>
              <w:end w:w="80" w:type="dxa"/>
            </w:tcMar>
            <w:vAlign w:val="top"/>
          </w:tcPr>
          <w:p>
            <w:pPr>
              <w:spacing w:after="0"/>
            </w:pPr>
            <w:r>
              <w:rPr>
                <w:rFonts w:ascii="Arial" w:hAnsi="Arial"/>
                <w:b w:val="0"/>
                <w:sz w:val="14"/>
              </w:rPr>
              <w:t>Economically unattractive.</w:t>
            </w:r>
          </w:p>
        </w:tc>
      </w:tr>
    </w:tbl>
    <w:p>
      <w:pPr>
        <w:spacing w:after="0"/>
      </w:pPr>
    </w:p>
    <w:p>
      <w:pPr>
        <w:keepNext w:val="0"/>
        <w:spacing w:after="100" w:line="252" w:lineRule="auto"/>
      </w:pPr>
      <w:r>
        <w:rPr>
          <w:rFonts w:ascii="Arial" w:hAnsi="Arial"/>
          <w:i w:val="0"/>
        </w:rPr>
        <w:t>In this illustrative setup, practical capacity might be defined around £40m-£60m per day depending on the minimum required net edge and stress assumptions. The exact threshold is a business/risk decision, not a purely statistical output.</w:t>
      </w:r>
    </w:p>
    <w:p>
      <w:pPr>
        <w:pStyle w:val="Heading2"/>
        <w:keepNext/>
        <w:spacing w:before="160" w:after="100"/>
      </w:pPr>
      <w:r>
        <w:rPr>
          <w:rFonts w:ascii="Arial" w:hAnsi="Arial"/>
          <w:b/>
          <w:sz w:val="25"/>
        </w:rPr>
        <w:t>5.6 Scenario analysis</w:t>
      </w:r>
    </w:p>
    <w:p>
      <w:pPr>
        <w:keepNext w:val="0"/>
        <w:spacing w:after="100" w:line="252" w:lineRule="auto"/>
      </w:pPr>
      <w:r>
        <w:rPr>
          <w:rFonts w:ascii="Arial" w:hAnsi="Arial"/>
          <w:i w:val="0"/>
        </w:rPr>
        <w:t>Scenario analysis should be framed as a "what if" rather than a forecast unless a probability is explicitly assigned. Useful scenario sets can include parallel rate shifts, curve steepening/flattening, credit-spread widening, FX gaps, volatility shocks and liquidity deterioration. A coherent multi-factor stress preserves economically meaningful dependencies rather than shocking every factor independently to its worst historical move.</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2438"/>
            <w:shd w:fill="D9E1F2"/>
            <w:tcMar>
              <w:top w:w="80" w:type="dxa"/>
              <w:start w:w="80" w:type="dxa"/>
              <w:bottom w:w="80" w:type="dxa"/>
              <w:end w:w="80" w:type="dxa"/>
            </w:tcMar>
            <w:vAlign w:val="center"/>
          </w:tcPr>
          <w:p>
            <w:pPr>
              <w:jc w:val="left"/>
            </w:pPr>
            <w:r>
              <w:rPr>
                <w:rFonts w:ascii="Arial" w:hAnsi="Arial"/>
                <w:b/>
                <w:sz w:val="15"/>
              </w:rPr>
              <w:t>Scenario</w:t>
            </w:r>
          </w:p>
        </w:tc>
        <w:tc>
          <w:tcPr>
            <w:tcW w:type="dxa" w:w="4649"/>
            <w:shd w:fill="D9E1F2"/>
            <w:tcMar>
              <w:top w:w="80" w:type="dxa"/>
              <w:start w:w="80" w:type="dxa"/>
              <w:bottom w:w="80" w:type="dxa"/>
              <w:end w:w="80" w:type="dxa"/>
            </w:tcMar>
            <w:vAlign w:val="center"/>
          </w:tcPr>
          <w:p>
            <w:pPr>
              <w:jc w:val="left"/>
            </w:pPr>
            <w:r>
              <w:rPr>
                <w:rFonts w:ascii="Arial" w:hAnsi="Arial"/>
                <w:b/>
                <w:sz w:val="15"/>
              </w:rPr>
              <w:t>Illustrative shocks</w:t>
            </w:r>
          </w:p>
        </w:tc>
        <w:tc>
          <w:tcPr>
            <w:tcW w:type="dxa" w:w="2665"/>
            <w:shd w:fill="D9E1F2"/>
            <w:tcMar>
              <w:top w:w="80" w:type="dxa"/>
              <w:start w:w="80" w:type="dxa"/>
              <w:bottom w:w="80" w:type="dxa"/>
              <w:end w:w="80" w:type="dxa"/>
            </w:tcMar>
            <w:vAlign w:val="center"/>
          </w:tcPr>
          <w:p>
            <w:pPr>
              <w:jc w:val="left"/>
            </w:pPr>
            <w:r>
              <w:rPr>
                <w:rFonts w:ascii="Arial" w:hAnsi="Arial"/>
                <w:b/>
                <w:sz w:val="15"/>
              </w:rPr>
              <w:t>Portfolio loss</w:t>
            </w:r>
          </w:p>
        </w:tc>
      </w:tr>
      <w:tr>
        <w:tc>
          <w:tcPr>
            <w:tcW w:type="dxa" w:w="2438"/>
            <w:tcMar>
              <w:top w:w="75" w:type="dxa"/>
              <w:start w:w="80" w:type="dxa"/>
              <w:bottom w:w="75" w:type="dxa"/>
              <w:end w:w="80" w:type="dxa"/>
            </w:tcMar>
            <w:vAlign w:val="top"/>
          </w:tcPr>
          <w:p>
            <w:pPr>
              <w:spacing w:after="0"/>
            </w:pPr>
            <w:r>
              <w:rPr>
                <w:rFonts w:ascii="Arial" w:hAnsi="Arial"/>
                <w:b/>
                <w:sz w:val="15"/>
              </w:rPr>
              <w:t>Rates sell-off</w:t>
            </w:r>
          </w:p>
        </w:tc>
        <w:tc>
          <w:tcPr>
            <w:tcW w:type="dxa" w:w="4649"/>
            <w:tcMar>
              <w:top w:w="75" w:type="dxa"/>
              <w:start w:w="80" w:type="dxa"/>
              <w:bottom w:w="75" w:type="dxa"/>
              <w:end w:w="80" w:type="dxa"/>
            </w:tcMar>
            <w:vAlign w:val="top"/>
          </w:tcPr>
          <w:p>
            <w:pPr>
              <w:spacing w:after="0"/>
            </w:pPr>
            <w:r>
              <w:rPr>
                <w:rFonts w:ascii="Arial" w:hAnsi="Arial"/>
                <w:b w:val="0"/>
                <w:sz w:val="15"/>
              </w:rPr>
              <w:t>+75 bp parallel, +25 bp long-end steepening</w:t>
            </w:r>
          </w:p>
        </w:tc>
        <w:tc>
          <w:tcPr>
            <w:tcW w:type="dxa" w:w="2665"/>
            <w:tcMar>
              <w:top w:w="75" w:type="dxa"/>
              <w:start w:w="80" w:type="dxa"/>
              <w:bottom w:w="75" w:type="dxa"/>
              <w:end w:w="80" w:type="dxa"/>
            </w:tcMar>
            <w:vAlign w:val="top"/>
          </w:tcPr>
          <w:p>
            <w:pPr>
              <w:spacing w:after="0"/>
            </w:pPr>
            <w:r>
              <w:rPr>
                <w:rFonts w:ascii="Arial" w:hAnsi="Arial"/>
                <w:b w:val="0"/>
                <w:sz w:val="15"/>
              </w:rPr>
              <w:t>-£9.4m</w:t>
            </w:r>
          </w:p>
        </w:tc>
      </w:tr>
      <w:tr>
        <w:tc>
          <w:tcPr>
            <w:tcW w:type="dxa" w:w="2438"/>
            <w:tcMar>
              <w:top w:w="75" w:type="dxa"/>
              <w:start w:w="80" w:type="dxa"/>
              <w:bottom w:w="75" w:type="dxa"/>
              <w:end w:w="80" w:type="dxa"/>
            </w:tcMar>
            <w:vAlign w:val="top"/>
          </w:tcPr>
          <w:p>
            <w:pPr>
              <w:spacing w:after="0"/>
            </w:pPr>
            <w:r>
              <w:rPr>
                <w:rFonts w:ascii="Arial" w:hAnsi="Arial"/>
                <w:b/>
                <w:sz w:val="15"/>
              </w:rPr>
              <w:t>Credit/liquidity stress</w:t>
            </w:r>
          </w:p>
        </w:tc>
        <w:tc>
          <w:tcPr>
            <w:tcW w:type="dxa" w:w="4649"/>
            <w:tcMar>
              <w:top w:w="75" w:type="dxa"/>
              <w:start w:w="80" w:type="dxa"/>
              <w:bottom w:w="75" w:type="dxa"/>
              <w:end w:w="80" w:type="dxa"/>
            </w:tcMar>
            <w:vAlign w:val="top"/>
          </w:tcPr>
          <w:p>
            <w:pPr>
              <w:spacing w:after="0"/>
            </w:pPr>
            <w:r>
              <w:rPr>
                <w:rFonts w:ascii="Arial" w:hAnsi="Arial"/>
                <w:b w:val="0"/>
                <w:sz w:val="15"/>
              </w:rPr>
              <w:t>+120 bp credit spread, bid/ask x2, vol +35%</w:t>
            </w:r>
          </w:p>
        </w:tc>
        <w:tc>
          <w:tcPr>
            <w:tcW w:type="dxa" w:w="2665"/>
            <w:tcMar>
              <w:top w:w="75" w:type="dxa"/>
              <w:start w:w="80" w:type="dxa"/>
              <w:bottom w:w="75" w:type="dxa"/>
              <w:end w:w="80" w:type="dxa"/>
            </w:tcMar>
            <w:vAlign w:val="top"/>
          </w:tcPr>
          <w:p>
            <w:pPr>
              <w:spacing w:after="0"/>
            </w:pPr>
            <w:r>
              <w:rPr>
                <w:rFonts w:ascii="Arial" w:hAnsi="Arial"/>
                <w:b w:val="0"/>
                <w:sz w:val="15"/>
              </w:rPr>
              <w:t>-£12.1m</w:t>
            </w:r>
          </w:p>
        </w:tc>
      </w:tr>
      <w:tr>
        <w:tc>
          <w:tcPr>
            <w:tcW w:type="dxa" w:w="2438"/>
            <w:tcMar>
              <w:top w:w="75" w:type="dxa"/>
              <w:start w:w="80" w:type="dxa"/>
              <w:bottom w:w="75" w:type="dxa"/>
              <w:end w:w="80" w:type="dxa"/>
            </w:tcMar>
            <w:vAlign w:val="top"/>
          </w:tcPr>
          <w:p>
            <w:pPr>
              <w:spacing w:after="0"/>
            </w:pPr>
            <w:r>
              <w:rPr>
                <w:rFonts w:ascii="Arial" w:hAnsi="Arial"/>
                <w:b/>
                <w:sz w:val="15"/>
              </w:rPr>
              <w:t>Risk-off cross-asset</w:t>
            </w:r>
          </w:p>
        </w:tc>
        <w:tc>
          <w:tcPr>
            <w:tcW w:type="dxa" w:w="4649"/>
            <w:tcMar>
              <w:top w:w="75" w:type="dxa"/>
              <w:start w:w="80" w:type="dxa"/>
              <w:bottom w:w="75" w:type="dxa"/>
              <w:end w:w="80" w:type="dxa"/>
            </w:tcMar>
            <w:vAlign w:val="top"/>
          </w:tcPr>
          <w:p>
            <w:pPr>
              <w:spacing w:after="0"/>
            </w:pPr>
            <w:r>
              <w:rPr>
                <w:rFonts w:ascii="Arial" w:hAnsi="Arial"/>
                <w:b w:val="0"/>
                <w:sz w:val="15"/>
              </w:rPr>
              <w:t>GBP -6%, equities -12%, rates rally, credit +80 bp</w:t>
            </w:r>
          </w:p>
        </w:tc>
        <w:tc>
          <w:tcPr>
            <w:tcW w:type="dxa" w:w="2665"/>
            <w:tcMar>
              <w:top w:w="75" w:type="dxa"/>
              <w:start w:w="80" w:type="dxa"/>
              <w:bottom w:w="75" w:type="dxa"/>
              <w:end w:w="80" w:type="dxa"/>
            </w:tcMar>
            <w:vAlign w:val="top"/>
          </w:tcPr>
          <w:p>
            <w:pPr>
              <w:spacing w:after="0"/>
            </w:pPr>
            <w:r>
              <w:rPr>
                <w:rFonts w:ascii="Arial" w:hAnsi="Arial"/>
                <w:b w:val="0"/>
                <w:sz w:val="15"/>
              </w:rPr>
              <w:t>-£8.7m</w:t>
            </w:r>
          </w:p>
        </w:tc>
      </w:tr>
      <w:tr>
        <w:tc>
          <w:tcPr>
            <w:tcW w:type="dxa" w:w="2438"/>
            <w:tcMar>
              <w:top w:w="75" w:type="dxa"/>
              <w:start w:w="80" w:type="dxa"/>
              <w:bottom w:w="75" w:type="dxa"/>
              <w:end w:w="80" w:type="dxa"/>
            </w:tcMar>
            <w:vAlign w:val="top"/>
          </w:tcPr>
          <w:p>
            <w:pPr>
              <w:spacing w:after="0"/>
            </w:pPr>
            <w:r>
              <w:rPr>
                <w:rFonts w:ascii="Arial" w:hAnsi="Arial"/>
                <w:b/>
                <w:sz w:val="15"/>
              </w:rPr>
              <w:t>Reverse stress</w:t>
            </w:r>
          </w:p>
        </w:tc>
        <w:tc>
          <w:tcPr>
            <w:tcW w:type="dxa" w:w="4649"/>
            <w:tcMar>
              <w:top w:w="75" w:type="dxa"/>
              <w:start w:w="80" w:type="dxa"/>
              <w:bottom w:w="75" w:type="dxa"/>
              <w:end w:w="80" w:type="dxa"/>
            </w:tcMar>
            <w:vAlign w:val="top"/>
          </w:tcPr>
          <w:p>
            <w:pPr>
              <w:spacing w:after="0"/>
            </w:pPr>
            <w:r>
              <w:rPr>
                <w:rFonts w:ascii="Arial" w:hAnsi="Arial"/>
                <w:b w:val="0"/>
                <w:sz w:val="15"/>
              </w:rPr>
              <w:t>Solve for joint rates/credit shock causing £15m loss</w:t>
            </w:r>
          </w:p>
        </w:tc>
        <w:tc>
          <w:tcPr>
            <w:tcW w:type="dxa" w:w="2665"/>
            <w:tcMar>
              <w:top w:w="75" w:type="dxa"/>
              <w:start w:w="80" w:type="dxa"/>
              <w:bottom w:w="75" w:type="dxa"/>
              <w:end w:w="80" w:type="dxa"/>
            </w:tcMar>
            <w:vAlign w:val="top"/>
          </w:tcPr>
          <w:p>
            <w:pPr>
              <w:spacing w:after="0"/>
            </w:pPr>
            <w:r>
              <w:rPr>
                <w:rFonts w:ascii="Arial" w:hAnsi="Arial"/>
                <w:b w:val="0"/>
                <w:sz w:val="15"/>
              </w:rPr>
              <w:t>Threshold breached at specified combination</w:t>
            </w:r>
          </w:p>
        </w:tc>
      </w:tr>
    </w:tbl>
    <w:p>
      <w:pPr>
        <w:spacing w:after="0"/>
      </w:pPr>
    </w:p>
    <w:p>
      <w:pPr>
        <w:pStyle w:val="Heading2"/>
        <w:keepNext/>
        <w:spacing w:before="160" w:after="100"/>
      </w:pPr>
      <w:r>
        <w:rPr>
          <w:rFonts w:ascii="Arial" w:hAnsi="Arial"/>
          <w:b/>
          <w:sz w:val="25"/>
        </w:rPr>
        <w:t>5.7 Risk-model backtesting</w:t>
      </w:r>
    </w:p>
    <w:p>
      <w:pPr>
        <w:keepNext w:val="0"/>
        <w:spacing w:after="100" w:line="252" w:lineRule="auto"/>
      </w:pPr>
      <w:r>
        <w:rPr>
          <w:rFonts w:ascii="Arial" w:hAnsi="Arial"/>
          <w:i w:val="0"/>
        </w:rPr>
        <w:t>A 99% one-day VaR model implies roughly 1% breaches under the model assumptions. Over 250 independent days the expectation is about 2.5 breaches, but one year is noisy and breach clustering matters. Validation should inspect both count and timing, changing volatility, P&amp;L definition and whether the model misses a systematic risk factor.</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ILLUSTRATIVE RESULT</w:t>
            </w:r>
          </w:p>
          <w:p>
            <w:pPr>
              <w:spacing w:after="0"/>
            </w:pPr>
            <w:r>
              <w:rPr>
                <w:rFonts w:ascii="Arial" w:hAnsi="Arial"/>
                <w:sz w:val="18"/>
              </w:rPr>
              <w:t>Suppose the model has 3 breaches in a 250-day backtest, two clustered in the same stressed week. The count alone does not look extraordinary, but the clustering and common risk driver would still justify investigation.</w:t>
            </w:r>
          </w:p>
        </w:tc>
      </w:tr>
    </w:tbl>
    <w:p>
      <w:pPr>
        <w:spacing w:after="0"/>
      </w:pPr>
    </w:p>
    <w:p>
      <w:pPr>
        <w:pStyle w:val="Heading2"/>
        <w:keepNext/>
        <w:spacing w:before="160" w:after="100"/>
      </w:pPr>
      <w:r>
        <w:rPr>
          <w:rFonts w:ascii="Arial" w:hAnsi="Arial"/>
          <w:b/>
          <w:sz w:val="25"/>
        </w:rPr>
        <w:t>5.8 Common challenges across broader Markets modelling</w:t>
      </w:r>
    </w:p>
    <w:p>
      <w:pPr>
        <w:pStyle w:val="ListBullet"/>
        <w:spacing w:after="50" w:line="247" w:lineRule="auto"/>
      </w:pPr>
      <w:r>
        <w:rPr>
          <w:rFonts w:ascii="Arial" w:hAnsi="Arial"/>
        </w:rPr>
        <w:t>Inconsistent market data, calendars, fixing conventions and curve construction.</w:t>
      </w:r>
    </w:p>
    <w:p>
      <w:pPr>
        <w:pStyle w:val="ListBullet"/>
        <w:spacing w:after="50" w:line="247" w:lineRule="auto"/>
      </w:pPr>
      <w:r>
        <w:rPr>
          <w:rFonts w:ascii="Arial" w:hAnsi="Arial"/>
        </w:rPr>
        <w:t>Sparse histories and tail events: risk estimates become unstable exactly where they matter most.</w:t>
      </w:r>
    </w:p>
    <w:p>
      <w:pPr>
        <w:pStyle w:val="ListBullet"/>
        <w:spacing w:after="50" w:line="247" w:lineRule="auto"/>
      </w:pPr>
      <w:r>
        <w:rPr>
          <w:rFonts w:ascii="Arial" w:hAnsi="Arial"/>
        </w:rPr>
        <w:t>Factor mapping: proxy instruments and coarse surfaces leave basis / skew / nonlinear residual risks.</w:t>
      </w:r>
    </w:p>
    <w:p>
      <w:pPr>
        <w:pStyle w:val="ListBullet"/>
        <w:spacing w:after="50" w:line="247" w:lineRule="auto"/>
      </w:pPr>
      <w:r>
        <w:rPr>
          <w:rFonts w:ascii="Arial" w:hAnsi="Arial"/>
        </w:rPr>
        <w:t>Nonlinearity: delta/DV01 approximations can fail under large shocks or optionality.</w:t>
      </w:r>
    </w:p>
    <w:p>
      <w:pPr>
        <w:pStyle w:val="ListBullet"/>
        <w:spacing w:after="50" w:line="247" w:lineRule="auto"/>
      </w:pPr>
      <w:r>
        <w:rPr>
          <w:rFonts w:ascii="Arial" w:hAnsi="Arial"/>
        </w:rPr>
        <w:t>Correlation instability: diversification in normal periods can disappear in stress.</w:t>
      </w:r>
    </w:p>
    <w:p>
      <w:pPr>
        <w:pStyle w:val="ListBullet"/>
        <w:spacing w:after="50" w:line="247" w:lineRule="auto"/>
      </w:pPr>
      <w:r>
        <w:rPr>
          <w:rFonts w:ascii="Arial" w:hAnsi="Arial"/>
        </w:rPr>
        <w:t>Computation: full revaluation across many scenarios can dominate runtime.</w:t>
      </w:r>
    </w:p>
    <w:p>
      <w:pPr>
        <w:pStyle w:val="ListBullet"/>
        <w:spacing w:after="50" w:line="247" w:lineRule="auto"/>
      </w:pPr>
      <w:r>
        <w:rPr>
          <w:rFonts w:ascii="Arial" w:hAnsi="Arial"/>
        </w:rPr>
        <w:t>Probability-measure confusion: risk-neutral pricing dynamics versus physical forecasting/risk dynamics.</w:t>
      </w:r>
    </w:p>
    <w:p>
      <w:pPr>
        <w:pStyle w:val="ListBullet"/>
        <w:spacing w:after="50" w:line="247" w:lineRule="auto"/>
      </w:pPr>
      <w:r>
        <w:rPr>
          <w:rFonts w:ascii="Arial" w:hAnsi="Arial"/>
        </w:rPr>
        <w:t>Capacity assumptions: simple scaling of a low-notional backtest ignores worsening market impact and accessible liquidity.</w:t>
      </w:r>
    </w:p>
    <w:p>
      <w:pPr>
        <w:pStyle w:val="Heading2"/>
        <w:keepNext/>
        <w:spacing w:before="160" w:after="100"/>
      </w:pPr>
      <w:r>
        <w:rPr>
          <w:rFonts w:ascii="Arial" w:hAnsi="Arial"/>
          <w:b/>
          <w:sz w:val="25"/>
        </w:rPr>
        <w:t>5.9 What I would do differently today</w:t>
      </w:r>
    </w:p>
    <w:p>
      <w:pPr>
        <w:pStyle w:val="ListBullet"/>
        <w:spacing w:after="50" w:line="247" w:lineRule="auto"/>
      </w:pPr>
      <w:r>
        <w:rPr>
          <w:rFonts w:ascii="Arial" w:hAnsi="Arial"/>
        </w:rPr>
        <w:t>Build one consistent scenario/revaluation service with auditable market-state snapshots and clear physical-versus-pricing measure boundaries.</w:t>
      </w:r>
    </w:p>
    <w:p>
      <w:pPr>
        <w:pStyle w:val="ListBullet"/>
        <w:spacing w:after="50" w:line="247" w:lineRule="auto"/>
      </w:pPr>
      <w:r>
        <w:rPr>
          <w:rFonts w:ascii="Arial" w:hAnsi="Arial"/>
        </w:rPr>
        <w:t>Use automatic differentiation / AAD or well-tested surrogate models to accelerate sensitivities and scenario revaluation where appropriate.</w:t>
      </w:r>
    </w:p>
    <w:p>
      <w:pPr>
        <w:pStyle w:val="ListBullet"/>
        <w:spacing w:after="50" w:line="247" w:lineRule="auto"/>
      </w:pPr>
      <w:r>
        <w:rPr>
          <w:rFonts w:ascii="Arial" w:hAnsi="Arial"/>
        </w:rPr>
        <w:t>Use richer volatility / tail models only when backtests show a material deficiency in simpler approaches.</w:t>
      </w:r>
    </w:p>
    <w:p>
      <w:pPr>
        <w:pStyle w:val="ListBullet"/>
        <w:spacing w:after="50" w:line="247" w:lineRule="auto"/>
      </w:pPr>
      <w:r>
        <w:rPr>
          <w:rFonts w:ascii="Arial" w:hAnsi="Arial"/>
        </w:rPr>
        <w:t>Combine historical stress with forward-looking scenario design rather than assuming the historical window contains every relevant shock.</w:t>
      </w:r>
    </w:p>
    <w:p>
      <w:pPr>
        <w:pStyle w:val="ListBullet"/>
        <w:spacing w:after="50" w:line="247" w:lineRule="auto"/>
      </w:pPr>
      <w:r>
        <w:rPr>
          <w:rFonts w:ascii="Arial" w:hAnsi="Arial"/>
        </w:rPr>
        <w:t>Treat liquidity and capacity as dynamic, stress-dependent quantities, not fixed transaction-cost add-ons.</w:t>
      </w:r>
    </w:p>
    <w:p>
      <w:pPr>
        <w:pStyle w:val="ListBullet"/>
        <w:spacing w:after="50" w:line="247" w:lineRule="auto"/>
      </w:pPr>
      <w:r>
        <w:rPr>
          <w:rFonts w:ascii="Arial" w:hAnsi="Arial"/>
        </w:rPr>
        <w:t>For forecasting, benchmark every complex model against AR/rolling/EWMA baselines and evaluate the decision metric, not only statistical fit.</w:t>
      </w:r>
    </w:p>
    <w:p>
      <w:pPr>
        <w:pStyle w:val="Heading2"/>
        <w:keepNext/>
        <w:spacing w:before="160" w:after="100"/>
      </w:pPr>
      <w:r>
        <w:rPr>
          <w:rFonts w:ascii="Arial" w:hAnsi="Arial"/>
          <w:b/>
          <w:sz w:val="25"/>
        </w:rPr>
        <w:t>5.10 Interview defence</w:t>
      </w:r>
    </w:p>
    <w:p>
      <w:pPr>
        <w:spacing w:after="40"/>
      </w:pPr>
      <w:r>
        <w:rPr>
          <w:rFonts w:ascii="Arial" w:hAnsi="Arial"/>
          <w:b/>
          <w:sz w:val="18"/>
        </w:rPr>
        <w:t>Q: Is VaR a maximum loss?</w:t>
      </w:r>
    </w:p>
    <w:p>
      <w:pPr>
        <w:spacing w:after="100"/>
        <w:ind w:left="227"/>
      </w:pPr>
      <w:r>
        <w:rPr>
          <w:rFonts w:ascii="Arial" w:hAnsi="Arial"/>
          <w:sz w:val="18"/>
        </w:rPr>
        <w:t>A: No. It is a model-dependent quantile at a specified confidence level and horizon. Losses beyond VaR can be much larger.</w:t>
      </w:r>
    </w:p>
    <w:p>
      <w:pPr>
        <w:spacing w:after="40"/>
      </w:pPr>
      <w:r>
        <w:rPr>
          <w:rFonts w:ascii="Arial" w:hAnsi="Arial"/>
          <w:b/>
          <w:sz w:val="18"/>
        </w:rPr>
        <w:t>Q: Why full revaluation instead of a sensitivity approximation?</w:t>
      </w:r>
    </w:p>
    <w:p>
      <w:pPr>
        <w:spacing w:after="100"/>
        <w:ind w:left="227"/>
      </w:pPr>
      <w:r>
        <w:rPr>
          <w:rFonts w:ascii="Arial" w:hAnsi="Arial"/>
          <w:sz w:val="18"/>
        </w:rPr>
        <w:t>A: Full revaluation captures nonlinear pricing and state-dependent effects under the scenario. Sensitivity approximations are much faster and are appropriate where their stressed error is demonstrably acceptable.</w:t>
      </w:r>
    </w:p>
    <w:p>
      <w:pPr>
        <w:spacing w:after="40"/>
      </w:pPr>
      <w:r>
        <w:rPr>
          <w:rFonts w:ascii="Arial" w:hAnsi="Arial"/>
          <w:b/>
          <w:sz w:val="18"/>
        </w:rPr>
        <w:t>Q: What is RNIV?</w:t>
      </w:r>
    </w:p>
    <w:p>
      <w:pPr>
        <w:spacing w:after="100"/>
        <w:ind w:left="227"/>
      </w:pPr>
      <w:r>
        <w:rPr>
          <w:rFonts w:ascii="Arial" w:hAnsi="Arial"/>
          <w:sz w:val="18"/>
        </w:rPr>
        <w:t>A: Conceptually, risks not adequately captured in the core VaR representation. In interview I would define the actual historical framework, the missing factor, how materiality was estimated and my contribution rather than inventing a regulatory formula.</w:t>
      </w:r>
    </w:p>
    <w:p>
      <w:pPr>
        <w:spacing w:after="40"/>
      </w:pPr>
      <w:r>
        <w:rPr>
          <w:rFonts w:ascii="Arial" w:hAnsi="Arial"/>
          <w:b/>
          <w:sz w:val="18"/>
        </w:rPr>
        <w:t>Q: Why GARCH?</w:t>
      </w:r>
    </w:p>
    <w:p>
      <w:pPr>
        <w:spacing w:after="100"/>
        <w:ind w:left="227"/>
      </w:pPr>
      <w:r>
        <w:rPr>
          <w:rFonts w:ascii="Arial" w:hAnsi="Arial"/>
          <w:sz w:val="18"/>
        </w:rPr>
        <w:t>A: GARCH models conditional variance and volatility clustering. It can improve risk/volatility forecasts even if it provides essentially no directional-return signal.</w:t>
      </w:r>
    </w:p>
    <w:p>
      <w:pPr>
        <w:spacing w:after="40"/>
      </w:pPr>
      <w:r>
        <w:rPr>
          <w:rFonts w:ascii="Arial" w:hAnsi="Arial"/>
          <w:b/>
          <w:sz w:val="18"/>
        </w:rPr>
        <w:t>Q: What is capacity?</w:t>
      </w:r>
    </w:p>
    <w:p>
      <w:pPr>
        <w:spacing w:after="100"/>
        <w:ind w:left="227"/>
      </w:pPr>
      <w:r>
        <w:rPr>
          <w:rFonts w:ascii="Arial" w:hAnsi="Arial"/>
          <w:sz w:val="18"/>
        </w:rPr>
        <w:t>A: The amount of capital or notional a strategy can deploy before impact, liquidity constraints, crowding and opportunity scarcity erode its net return to an unacceptable level.</w:t>
      </w:r>
    </w:p>
    <w:p>
      <w:pPr>
        <w:spacing w:after="40"/>
      </w:pPr>
      <w:r>
        <w:rPr>
          <w:rFonts w:ascii="Arial" w:hAnsi="Arial"/>
          <w:b/>
          <w:sz w:val="18"/>
        </w:rPr>
        <w:t>Q: Which probability measure did you use in Monte Carlo?</w:t>
      </w:r>
    </w:p>
    <w:p>
      <w:pPr>
        <w:spacing w:after="100"/>
        <w:ind w:left="227"/>
      </w:pPr>
      <w:r>
        <w:rPr>
          <w:rFonts w:ascii="Arial" w:hAnsi="Arial"/>
          <w:sz w:val="18"/>
        </w:rPr>
        <w:t>A: It depends on the task. For arbitrage-consistent derivative pricing I would use the relevant risk-neutral framework; for forecasting and real-world risk I would use physical/empirical assumptions.</w:t>
      </w:r>
    </w:p>
    <w:p>
      <w:r>
        <w:br w:type="page"/>
      </w:r>
    </w:p>
    <w:p>
      <w:pPr>
        <w:pStyle w:val="Heading1"/>
        <w:keepNext/>
        <w:spacing w:before="240" w:after="100"/>
      </w:pPr>
      <w:r>
        <w:rPr>
          <w:rFonts w:ascii="Arial" w:hAnsi="Arial"/>
          <w:b/>
          <w:sz w:val="30"/>
        </w:rPr>
        <w:t>6. How the five bullets form one coherent Markets story</w:t>
      </w:r>
    </w:p>
    <w:p>
      <w:pPr>
        <w:keepNext w:val="0"/>
        <w:spacing w:after="100" w:line="252" w:lineRule="auto"/>
      </w:pPr>
      <w:r>
        <w:rPr>
          <w:rFonts w:ascii="Arial" w:hAnsi="Arial"/>
          <w:i w:val="0"/>
        </w:rPr>
        <w:t>The strongest interview narrative is not a list of methods. It is a progression in decision complexity:</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345"/>
        <w:gridCol w:w="3345"/>
        <w:gridCol w:w="3345"/>
      </w:tblGrid>
      <w:tr>
        <w:trPr>
          <w:tblHeader w:val="true"/>
        </w:trPr>
        <w:tc>
          <w:tcPr>
            <w:tcW w:type="dxa" w:w="1757"/>
            <w:shd w:fill="D9E1F2"/>
            <w:tcMar>
              <w:top w:w="80" w:type="dxa"/>
              <w:start w:w="80" w:type="dxa"/>
              <w:bottom w:w="80" w:type="dxa"/>
              <w:end w:w="80" w:type="dxa"/>
            </w:tcMar>
            <w:vAlign w:val="center"/>
          </w:tcPr>
          <w:p>
            <w:pPr>
              <w:jc w:val="left"/>
            </w:pPr>
            <w:r>
              <w:rPr>
                <w:rFonts w:ascii="Arial" w:hAnsi="Arial"/>
                <w:b/>
                <w:sz w:val="15"/>
              </w:rPr>
              <w:t>Step</w:t>
            </w:r>
          </w:p>
        </w:tc>
        <w:tc>
          <w:tcPr>
            <w:tcW w:type="dxa" w:w="3742"/>
            <w:shd w:fill="D9E1F2"/>
            <w:tcMar>
              <w:top w:w="80" w:type="dxa"/>
              <w:start w:w="80" w:type="dxa"/>
              <w:bottom w:w="80" w:type="dxa"/>
              <w:end w:w="80" w:type="dxa"/>
            </w:tcMar>
            <w:vAlign w:val="center"/>
          </w:tcPr>
          <w:p>
            <w:pPr>
              <w:jc w:val="left"/>
            </w:pPr>
            <w:r>
              <w:rPr>
                <w:rFonts w:ascii="Arial" w:hAnsi="Arial"/>
                <w:b/>
                <w:sz w:val="15"/>
              </w:rPr>
              <w:t>Question</w:t>
            </w:r>
          </w:p>
        </w:tc>
        <w:tc>
          <w:tcPr>
            <w:tcW w:type="dxa" w:w="4479"/>
            <w:shd w:fill="D9E1F2"/>
            <w:tcMar>
              <w:top w:w="80" w:type="dxa"/>
              <w:start w:w="80" w:type="dxa"/>
              <w:bottom w:w="80" w:type="dxa"/>
              <w:end w:w="80" w:type="dxa"/>
            </w:tcMar>
            <w:vAlign w:val="center"/>
          </w:tcPr>
          <w:p>
            <w:pPr>
              <w:jc w:val="left"/>
            </w:pPr>
            <w:r>
              <w:rPr>
                <w:rFonts w:ascii="Arial" w:hAnsi="Arial"/>
                <w:b/>
                <w:sz w:val="15"/>
              </w:rPr>
              <w:t>Technical skill demonstrated</w:t>
            </w:r>
          </w:p>
        </w:tc>
      </w:tr>
      <w:tr>
        <w:tc>
          <w:tcPr>
            <w:tcW w:type="dxa" w:w="1757"/>
            <w:tcMar>
              <w:top w:w="75" w:type="dxa"/>
              <w:start w:w="80" w:type="dxa"/>
              <w:bottom w:w="75" w:type="dxa"/>
              <w:end w:w="80" w:type="dxa"/>
            </w:tcMar>
            <w:vAlign w:val="top"/>
          </w:tcPr>
          <w:p>
            <w:pPr>
              <w:spacing w:after="0"/>
            </w:pPr>
            <w:r>
              <w:rPr>
                <w:rFonts w:ascii="Arial" w:hAnsi="Arial"/>
                <w:b/>
                <w:sz w:val="15"/>
              </w:rPr>
              <w:t>1. FX forecast</w:t>
            </w:r>
          </w:p>
        </w:tc>
        <w:tc>
          <w:tcPr>
            <w:tcW w:type="dxa" w:w="3742"/>
            <w:tcMar>
              <w:top w:w="75" w:type="dxa"/>
              <w:start w:w="80" w:type="dxa"/>
              <w:bottom w:w="75" w:type="dxa"/>
              <w:end w:w="80" w:type="dxa"/>
            </w:tcMar>
            <w:vAlign w:val="top"/>
          </w:tcPr>
          <w:p>
            <w:pPr>
              <w:spacing w:after="0"/>
            </w:pPr>
            <w:r>
              <w:rPr>
                <w:rFonts w:ascii="Arial" w:hAnsi="Arial"/>
                <w:b w:val="0"/>
                <w:sz w:val="15"/>
              </w:rPr>
              <w:t>Can proprietary information predict a near-term market outcome?</w:t>
            </w:r>
          </w:p>
        </w:tc>
        <w:tc>
          <w:tcPr>
            <w:tcW w:type="dxa" w:w="4479"/>
            <w:tcMar>
              <w:top w:w="75" w:type="dxa"/>
              <w:start w:w="80" w:type="dxa"/>
              <w:bottom w:w="75" w:type="dxa"/>
              <w:end w:w="80" w:type="dxa"/>
            </w:tcMar>
            <w:vAlign w:val="top"/>
          </w:tcPr>
          <w:p>
            <w:pPr>
              <w:spacing w:after="0"/>
            </w:pPr>
            <w:r>
              <w:rPr>
                <w:rFonts w:ascii="Arial" w:hAnsi="Arial"/>
                <w:b w:val="0"/>
                <w:sz w:val="15"/>
              </w:rPr>
              <w:t>Point-in-time data, features, ElasticNet/nonlinear models, OOS validation, execution awareness.</w:t>
            </w:r>
          </w:p>
        </w:tc>
      </w:tr>
      <w:tr>
        <w:tc>
          <w:tcPr>
            <w:tcW w:type="dxa" w:w="1757"/>
            <w:tcMar>
              <w:top w:w="75" w:type="dxa"/>
              <w:start w:w="80" w:type="dxa"/>
              <w:bottom w:w="75" w:type="dxa"/>
              <w:end w:w="80" w:type="dxa"/>
            </w:tcMar>
            <w:vAlign w:val="top"/>
          </w:tcPr>
          <w:p>
            <w:pPr>
              <w:spacing w:after="0"/>
            </w:pPr>
            <w:r>
              <w:rPr>
                <w:rFonts w:ascii="Arial" w:hAnsi="Arial"/>
                <w:b/>
                <w:sz w:val="15"/>
              </w:rPr>
              <w:t>2. Signal research</w:t>
            </w:r>
          </w:p>
        </w:tc>
        <w:tc>
          <w:tcPr>
            <w:tcW w:type="dxa" w:w="3742"/>
            <w:tcMar>
              <w:top w:w="75" w:type="dxa"/>
              <w:start w:w="80" w:type="dxa"/>
              <w:bottom w:w="75" w:type="dxa"/>
              <w:end w:w="80" w:type="dxa"/>
            </w:tcMar>
            <w:vAlign w:val="top"/>
          </w:tcPr>
          <w:p>
            <w:pPr>
              <w:spacing w:after="0"/>
            </w:pPr>
            <w:r>
              <w:rPr>
                <w:rFonts w:ascii="Arial" w:hAnsi="Arial"/>
                <w:b w:val="0"/>
                <w:sz w:val="15"/>
              </w:rPr>
              <w:t>Is the effect real, incremental and stable?</w:t>
            </w:r>
          </w:p>
        </w:tc>
        <w:tc>
          <w:tcPr>
            <w:tcW w:type="dxa" w:w="4479"/>
            <w:tcMar>
              <w:top w:w="75" w:type="dxa"/>
              <w:start w:w="80" w:type="dxa"/>
              <w:bottom w:w="75" w:type="dxa"/>
              <w:end w:w="80" w:type="dxa"/>
            </w:tcMar>
            <w:vAlign w:val="top"/>
          </w:tcPr>
          <w:p>
            <w:pPr>
              <w:spacing w:after="0"/>
            </w:pPr>
            <w:r>
              <w:rPr>
                <w:rFonts w:ascii="Arial" w:hAnsi="Arial"/>
                <w:b w:val="0"/>
                <w:sz w:val="15"/>
              </w:rPr>
              <w:t>Hypothesis design, regularisation, purging, stacking, leakage control, ablation, uncertainty.</w:t>
            </w:r>
          </w:p>
        </w:tc>
      </w:tr>
      <w:tr>
        <w:tc>
          <w:tcPr>
            <w:tcW w:type="dxa" w:w="1757"/>
            <w:tcMar>
              <w:top w:w="75" w:type="dxa"/>
              <w:start w:w="80" w:type="dxa"/>
              <w:bottom w:w="75" w:type="dxa"/>
              <w:end w:w="80" w:type="dxa"/>
            </w:tcMar>
            <w:vAlign w:val="top"/>
          </w:tcPr>
          <w:p>
            <w:pPr>
              <w:spacing w:after="0"/>
            </w:pPr>
            <w:r>
              <w:rPr>
                <w:rFonts w:ascii="Arial" w:hAnsi="Arial"/>
                <w:b/>
                <w:sz w:val="15"/>
              </w:rPr>
              <w:t>3. RFQ model</w:t>
            </w:r>
          </w:p>
        </w:tc>
        <w:tc>
          <w:tcPr>
            <w:tcW w:type="dxa" w:w="3742"/>
            <w:tcMar>
              <w:top w:w="75" w:type="dxa"/>
              <w:start w:w="80" w:type="dxa"/>
              <w:bottom w:w="75" w:type="dxa"/>
              <w:end w:w="80" w:type="dxa"/>
            </w:tcMar>
            <w:vAlign w:val="top"/>
          </w:tcPr>
          <w:p>
            <w:pPr>
              <w:spacing w:after="0"/>
            </w:pPr>
            <w:r>
              <w:rPr>
                <w:rFonts w:ascii="Arial" w:hAnsi="Arial"/>
                <w:b w:val="0"/>
                <w:sz w:val="15"/>
              </w:rPr>
              <w:t>How likely is a client to respond to a candidate price?</w:t>
            </w:r>
          </w:p>
        </w:tc>
        <w:tc>
          <w:tcPr>
            <w:tcW w:type="dxa" w:w="4479"/>
            <w:tcMar>
              <w:top w:w="75" w:type="dxa"/>
              <w:start w:w="80" w:type="dxa"/>
              <w:bottom w:w="75" w:type="dxa"/>
              <w:end w:w="80" w:type="dxa"/>
            </w:tcMar>
            <w:vAlign w:val="top"/>
          </w:tcPr>
          <w:p>
            <w:pPr>
              <w:spacing w:after="0"/>
            </w:pPr>
            <w:r>
              <w:rPr>
                <w:rFonts w:ascii="Arial" w:hAnsi="Arial"/>
                <w:b w:val="0"/>
                <w:sz w:val="15"/>
              </w:rPr>
              <w:t>Calibrated probabilities, quote sensitivity, Bayesian shrinkage, client heterogeneity.</w:t>
            </w:r>
          </w:p>
        </w:tc>
      </w:tr>
      <w:tr>
        <w:tc>
          <w:tcPr>
            <w:tcW w:type="dxa" w:w="1757"/>
            <w:tcMar>
              <w:top w:w="75" w:type="dxa"/>
              <w:start w:w="80" w:type="dxa"/>
              <w:bottom w:w="75" w:type="dxa"/>
              <w:end w:w="80" w:type="dxa"/>
            </w:tcMar>
            <w:vAlign w:val="top"/>
          </w:tcPr>
          <w:p>
            <w:pPr>
              <w:spacing w:after="0"/>
            </w:pPr>
            <w:r>
              <w:rPr>
                <w:rFonts w:ascii="Arial" w:hAnsi="Arial"/>
                <w:b/>
                <w:sz w:val="15"/>
              </w:rPr>
              <w:t>4. Market-making economics</w:t>
            </w:r>
          </w:p>
        </w:tc>
        <w:tc>
          <w:tcPr>
            <w:tcW w:type="dxa" w:w="3742"/>
            <w:tcMar>
              <w:top w:w="75" w:type="dxa"/>
              <w:start w:w="80" w:type="dxa"/>
              <w:bottom w:w="75" w:type="dxa"/>
              <w:end w:w="80" w:type="dxa"/>
            </w:tcMar>
            <w:vAlign w:val="top"/>
          </w:tcPr>
          <w:p>
            <w:pPr>
              <w:spacing w:after="0"/>
            </w:pPr>
            <w:r>
              <w:rPr>
                <w:rFonts w:ascii="Arial" w:hAnsi="Arial"/>
                <w:b w:val="0"/>
                <w:sz w:val="15"/>
              </w:rPr>
              <w:t>Which quote should the desk choose?</w:t>
            </w:r>
          </w:p>
        </w:tc>
        <w:tc>
          <w:tcPr>
            <w:tcW w:type="dxa" w:w="4479"/>
            <w:tcMar>
              <w:top w:w="75" w:type="dxa"/>
              <w:start w:w="80" w:type="dxa"/>
              <w:bottom w:w="75" w:type="dxa"/>
              <w:end w:w="80" w:type="dxa"/>
            </w:tcMar>
            <w:vAlign w:val="top"/>
          </w:tcPr>
          <w:p>
            <w:pPr>
              <w:spacing w:after="0"/>
            </w:pPr>
            <w:r>
              <w:rPr>
                <w:rFonts w:ascii="Arial" w:hAnsi="Arial"/>
                <w:b w:val="0"/>
                <w:sz w:val="15"/>
              </w:rPr>
              <w:t>Expected value, spread/markout/hedge cost, inventory, counterfactual limitations.</w:t>
            </w:r>
          </w:p>
        </w:tc>
      </w:tr>
      <w:tr>
        <w:tc>
          <w:tcPr>
            <w:tcW w:type="dxa" w:w="1757"/>
            <w:tcMar>
              <w:top w:w="75" w:type="dxa"/>
              <w:start w:w="80" w:type="dxa"/>
              <w:bottom w:w="75" w:type="dxa"/>
              <w:end w:w="80" w:type="dxa"/>
            </w:tcMar>
            <w:vAlign w:val="top"/>
          </w:tcPr>
          <w:p>
            <w:pPr>
              <w:spacing w:after="0"/>
            </w:pPr>
            <w:r>
              <w:rPr>
                <w:rFonts w:ascii="Arial" w:hAnsi="Arial"/>
                <w:b/>
                <w:sz w:val="15"/>
              </w:rPr>
              <w:t>5. Broader quant</w:t>
            </w:r>
          </w:p>
        </w:tc>
        <w:tc>
          <w:tcPr>
            <w:tcW w:type="dxa" w:w="3742"/>
            <w:tcMar>
              <w:top w:w="75" w:type="dxa"/>
              <w:start w:w="80" w:type="dxa"/>
              <w:bottom w:w="75" w:type="dxa"/>
              <w:end w:w="80" w:type="dxa"/>
            </w:tcMar>
            <w:vAlign w:val="top"/>
          </w:tcPr>
          <w:p>
            <w:pPr>
              <w:spacing w:after="0"/>
            </w:pPr>
            <w:r>
              <w:rPr>
                <w:rFonts w:ascii="Arial" w:hAnsi="Arial"/>
                <w:b w:val="0"/>
                <w:sz w:val="15"/>
              </w:rPr>
              <w:t>How do we value, risk-manage and forecast across a portfolio?</w:t>
            </w:r>
          </w:p>
        </w:tc>
        <w:tc>
          <w:tcPr>
            <w:tcW w:type="dxa" w:w="4479"/>
            <w:tcMar>
              <w:top w:w="75" w:type="dxa"/>
              <w:start w:w="80" w:type="dxa"/>
              <w:bottom w:w="75" w:type="dxa"/>
              <w:end w:w="80" w:type="dxa"/>
            </w:tcMar>
            <w:vAlign w:val="top"/>
          </w:tcPr>
          <w:p>
            <w:pPr>
              <w:spacing w:after="0"/>
            </w:pPr>
            <w:r>
              <w:rPr>
                <w:rFonts w:ascii="Arial" w:hAnsi="Arial"/>
                <w:b w:val="0"/>
                <w:sz w:val="15"/>
              </w:rPr>
              <w:t>VaR/RNIV, revaluation, Monte Carlo, time series, liquidity/capacity.</w:t>
            </w:r>
          </w:p>
        </w:tc>
      </w:tr>
    </w:tbl>
    <w:p>
      <w:pPr>
        <w:spacing w:after="0"/>
      </w:pPr>
    </w:p>
    <w:p>
      <w:pPr>
        <w:pStyle w:val="Heading2"/>
        <w:keepNext/>
        <w:spacing w:before="160" w:after="100"/>
      </w:pPr>
      <w:r>
        <w:rPr>
          <w:rFonts w:ascii="Arial" w:hAnsi="Arial"/>
          <w:b/>
          <w:sz w:val="25"/>
        </w:rPr>
        <w:t>6.1 Concepts you must never conflate</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18"/>
        <w:gridCol w:w="5018"/>
      </w:tblGrid>
      <w:tr>
        <w:trPr>
          <w:tblHeader w:val="true"/>
        </w:trPr>
        <w:tc>
          <w:tcPr>
            <w:tcW w:type="dxa" w:w="3231"/>
            <w:shd w:fill="D9E1F2"/>
            <w:tcMar>
              <w:top w:w="80" w:type="dxa"/>
              <w:start w:w="80" w:type="dxa"/>
              <w:bottom w:w="80" w:type="dxa"/>
              <w:end w:w="80" w:type="dxa"/>
            </w:tcMar>
            <w:vAlign w:val="center"/>
          </w:tcPr>
          <w:p>
            <w:pPr>
              <w:jc w:val="left"/>
            </w:pPr>
            <w:r>
              <w:rPr>
                <w:rFonts w:ascii="Arial" w:hAnsi="Arial"/>
                <w:b/>
                <w:sz w:val="15"/>
              </w:rPr>
              <w:t>Do not conflate</w:t>
            </w:r>
          </w:p>
        </w:tc>
        <w:tc>
          <w:tcPr>
            <w:tcW w:type="dxa" w:w="6520"/>
            <w:shd w:fill="D9E1F2"/>
            <w:tcMar>
              <w:top w:w="80" w:type="dxa"/>
              <w:start w:w="80" w:type="dxa"/>
              <w:bottom w:w="80" w:type="dxa"/>
              <w:end w:w="80" w:type="dxa"/>
            </w:tcMar>
            <w:vAlign w:val="center"/>
          </w:tcPr>
          <w:p>
            <w:pPr>
              <w:jc w:val="left"/>
            </w:pPr>
            <w:r>
              <w:rPr>
                <w:rFonts w:ascii="Arial" w:hAnsi="Arial"/>
                <w:b/>
                <w:sz w:val="15"/>
              </w:rPr>
              <w:t>Difference</w:t>
            </w:r>
          </w:p>
        </w:tc>
      </w:tr>
      <w:tr>
        <w:tc>
          <w:tcPr>
            <w:tcW w:type="dxa" w:w="3231"/>
            <w:tcMar>
              <w:top w:w="75" w:type="dxa"/>
              <w:start w:w="80" w:type="dxa"/>
              <w:bottom w:w="75" w:type="dxa"/>
              <w:end w:w="80" w:type="dxa"/>
            </w:tcMar>
            <w:vAlign w:val="top"/>
          </w:tcPr>
          <w:p>
            <w:pPr>
              <w:spacing w:after="0"/>
            </w:pPr>
            <w:r>
              <w:rPr>
                <w:rFonts w:ascii="Arial" w:hAnsi="Arial"/>
                <w:b/>
                <w:sz w:val="15"/>
              </w:rPr>
              <w:t>Mid-price forecast vs executable P&amp;L</w:t>
            </w:r>
          </w:p>
        </w:tc>
        <w:tc>
          <w:tcPr>
            <w:tcW w:type="dxa" w:w="6520"/>
            <w:tcMar>
              <w:top w:w="75" w:type="dxa"/>
              <w:start w:w="80" w:type="dxa"/>
              <w:bottom w:w="75" w:type="dxa"/>
              <w:end w:w="80" w:type="dxa"/>
            </w:tcMar>
            <w:vAlign w:val="top"/>
          </w:tcPr>
          <w:p>
            <w:pPr>
              <w:spacing w:after="0"/>
            </w:pPr>
            <w:r>
              <w:rPr>
                <w:rFonts w:ascii="Arial" w:hAnsi="Arial"/>
                <w:b w:val="0"/>
                <w:sz w:val="15"/>
              </w:rPr>
              <w:t>Forecast predicts a reference move; execution determines whether that edge can be monetised.</w:t>
            </w:r>
          </w:p>
        </w:tc>
      </w:tr>
      <w:tr>
        <w:tc>
          <w:tcPr>
            <w:tcW w:type="dxa" w:w="3231"/>
            <w:tcMar>
              <w:top w:w="75" w:type="dxa"/>
              <w:start w:w="80" w:type="dxa"/>
              <w:bottom w:w="75" w:type="dxa"/>
              <w:end w:w="80" w:type="dxa"/>
            </w:tcMar>
            <w:vAlign w:val="top"/>
          </w:tcPr>
          <w:p>
            <w:pPr>
              <w:spacing w:after="0"/>
            </w:pPr>
            <w:r>
              <w:rPr>
                <w:rFonts w:ascii="Arial" w:hAnsi="Arial"/>
                <w:b/>
                <w:sz w:val="15"/>
              </w:rPr>
              <w:t>Feature importance vs causality</w:t>
            </w:r>
          </w:p>
        </w:tc>
        <w:tc>
          <w:tcPr>
            <w:tcW w:type="dxa" w:w="6520"/>
            <w:tcMar>
              <w:top w:w="75" w:type="dxa"/>
              <w:start w:w="80" w:type="dxa"/>
              <w:bottom w:w="75" w:type="dxa"/>
              <w:end w:w="80" w:type="dxa"/>
            </w:tcMar>
            <w:vAlign w:val="top"/>
          </w:tcPr>
          <w:p>
            <w:pPr>
              <w:spacing w:after="0"/>
            </w:pPr>
            <w:r>
              <w:rPr>
                <w:rFonts w:ascii="Arial" w:hAnsi="Arial"/>
                <w:b w:val="0"/>
                <w:sz w:val="15"/>
              </w:rPr>
              <w:t>Association in predictive data does not prove an intervention will produce the same effect.</w:t>
            </w:r>
          </w:p>
        </w:tc>
      </w:tr>
      <w:tr>
        <w:tc>
          <w:tcPr>
            <w:tcW w:type="dxa" w:w="3231"/>
            <w:tcMar>
              <w:top w:w="75" w:type="dxa"/>
              <w:start w:w="80" w:type="dxa"/>
              <w:bottom w:w="75" w:type="dxa"/>
              <w:end w:w="80" w:type="dxa"/>
            </w:tcMar>
            <w:vAlign w:val="top"/>
          </w:tcPr>
          <w:p>
            <w:pPr>
              <w:spacing w:after="0"/>
            </w:pPr>
            <w:r>
              <w:rPr>
                <w:rFonts w:ascii="Arial" w:hAnsi="Arial"/>
                <w:b/>
                <w:sz w:val="15"/>
              </w:rPr>
              <w:t>Chance-to-fill vs fair value</w:t>
            </w:r>
          </w:p>
        </w:tc>
        <w:tc>
          <w:tcPr>
            <w:tcW w:type="dxa" w:w="6520"/>
            <w:tcMar>
              <w:top w:w="75" w:type="dxa"/>
              <w:start w:w="80" w:type="dxa"/>
              <w:bottom w:w="75" w:type="dxa"/>
              <w:end w:w="80" w:type="dxa"/>
            </w:tcMar>
            <w:vAlign w:val="top"/>
          </w:tcPr>
          <w:p>
            <w:pPr>
              <w:spacing w:after="0"/>
            </w:pPr>
            <w:r>
              <w:rPr>
                <w:rFonts w:ascii="Arial" w:hAnsi="Arial"/>
                <w:b w:val="0"/>
                <w:sz w:val="15"/>
              </w:rPr>
              <w:t>Client response model is behavioural; valuation model prices contractual cash flows.</w:t>
            </w:r>
          </w:p>
        </w:tc>
      </w:tr>
      <w:tr>
        <w:tc>
          <w:tcPr>
            <w:tcW w:type="dxa" w:w="3231"/>
            <w:tcMar>
              <w:top w:w="75" w:type="dxa"/>
              <w:start w:w="80" w:type="dxa"/>
              <w:bottom w:w="75" w:type="dxa"/>
              <w:end w:w="80" w:type="dxa"/>
            </w:tcMar>
            <w:vAlign w:val="top"/>
          </w:tcPr>
          <w:p>
            <w:pPr>
              <w:spacing w:after="0"/>
            </w:pPr>
            <w:r>
              <w:rPr>
                <w:rFonts w:ascii="Arial" w:hAnsi="Arial"/>
                <w:b/>
                <w:sz w:val="15"/>
              </w:rPr>
              <w:t>Win probability vs optimal quote</w:t>
            </w:r>
          </w:p>
        </w:tc>
        <w:tc>
          <w:tcPr>
            <w:tcW w:type="dxa" w:w="6520"/>
            <w:tcMar>
              <w:top w:w="75" w:type="dxa"/>
              <w:start w:w="80" w:type="dxa"/>
              <w:bottom w:w="75" w:type="dxa"/>
              <w:end w:w="80" w:type="dxa"/>
            </w:tcMar>
            <w:vAlign w:val="top"/>
          </w:tcPr>
          <w:p>
            <w:pPr>
              <w:spacing w:after="0"/>
            </w:pPr>
            <w:r>
              <w:rPr>
                <w:rFonts w:ascii="Arial" w:hAnsi="Arial"/>
                <w:b w:val="0"/>
                <w:sz w:val="15"/>
              </w:rPr>
              <w:t>Optimal quote depends on contribution, risk, inventory and constraints.</w:t>
            </w:r>
          </w:p>
        </w:tc>
      </w:tr>
      <w:tr>
        <w:tc>
          <w:tcPr>
            <w:tcW w:type="dxa" w:w="3231"/>
            <w:tcMar>
              <w:top w:w="75" w:type="dxa"/>
              <w:start w:w="80" w:type="dxa"/>
              <w:bottom w:w="75" w:type="dxa"/>
              <w:end w:w="80" w:type="dxa"/>
            </w:tcMar>
            <w:vAlign w:val="top"/>
          </w:tcPr>
          <w:p>
            <w:pPr>
              <w:spacing w:after="0"/>
            </w:pPr>
            <w:r>
              <w:rPr>
                <w:rFonts w:ascii="Arial" w:hAnsi="Arial"/>
                <w:b/>
                <w:sz w:val="15"/>
              </w:rPr>
              <w:t>Calibration vs discrimination</w:t>
            </w:r>
          </w:p>
        </w:tc>
        <w:tc>
          <w:tcPr>
            <w:tcW w:type="dxa" w:w="6520"/>
            <w:tcMar>
              <w:top w:w="75" w:type="dxa"/>
              <w:start w:w="80" w:type="dxa"/>
              <w:bottom w:w="75" w:type="dxa"/>
              <w:end w:w="80" w:type="dxa"/>
            </w:tcMar>
            <w:vAlign w:val="top"/>
          </w:tcPr>
          <w:p>
            <w:pPr>
              <w:spacing w:after="0"/>
            </w:pPr>
            <w:r>
              <w:rPr>
                <w:rFonts w:ascii="Arial" w:hAnsi="Arial"/>
                <w:b w:val="0"/>
                <w:sz w:val="15"/>
              </w:rPr>
              <w:t>AUC/ranking can be good while probabilities are systematically wrong.</w:t>
            </w:r>
          </w:p>
        </w:tc>
      </w:tr>
      <w:tr>
        <w:tc>
          <w:tcPr>
            <w:tcW w:type="dxa" w:w="3231"/>
            <w:tcMar>
              <w:top w:w="75" w:type="dxa"/>
              <w:start w:w="80" w:type="dxa"/>
              <w:bottom w:w="75" w:type="dxa"/>
              <w:end w:w="80" w:type="dxa"/>
            </w:tcMar>
            <w:vAlign w:val="top"/>
          </w:tcPr>
          <w:p>
            <w:pPr>
              <w:spacing w:after="0"/>
            </w:pPr>
            <w:r>
              <w:rPr>
                <w:rFonts w:ascii="Arial" w:hAnsi="Arial"/>
                <w:b/>
                <w:sz w:val="15"/>
              </w:rPr>
              <w:t>Markout vs realised P&amp;L</w:t>
            </w:r>
          </w:p>
        </w:tc>
        <w:tc>
          <w:tcPr>
            <w:tcW w:type="dxa" w:w="6520"/>
            <w:tcMar>
              <w:top w:w="75" w:type="dxa"/>
              <w:start w:w="80" w:type="dxa"/>
              <w:bottom w:w="75" w:type="dxa"/>
              <w:end w:w="80" w:type="dxa"/>
            </w:tcMar>
            <w:vAlign w:val="top"/>
          </w:tcPr>
          <w:p>
            <w:pPr>
              <w:spacing w:after="0"/>
            </w:pPr>
            <w:r>
              <w:rPr>
                <w:rFonts w:ascii="Arial" w:hAnsi="Arial"/>
                <w:b w:val="0"/>
                <w:sz w:val="15"/>
              </w:rPr>
              <w:t>Markout is reference-price movement; realised economics depend on hedging/cash flows/inventory.</w:t>
            </w:r>
          </w:p>
        </w:tc>
      </w:tr>
      <w:tr>
        <w:tc>
          <w:tcPr>
            <w:tcW w:type="dxa" w:w="3231"/>
            <w:tcMar>
              <w:top w:w="75" w:type="dxa"/>
              <w:start w:w="80" w:type="dxa"/>
              <w:bottom w:w="75" w:type="dxa"/>
              <w:end w:w="80" w:type="dxa"/>
            </w:tcMar>
            <w:vAlign w:val="top"/>
          </w:tcPr>
          <w:p>
            <w:pPr>
              <w:spacing w:after="0"/>
            </w:pPr>
            <w:r>
              <w:rPr>
                <w:rFonts w:ascii="Arial" w:hAnsi="Arial"/>
                <w:b/>
                <w:sz w:val="15"/>
              </w:rPr>
              <w:t>VaR vs maximum loss</w:t>
            </w:r>
          </w:p>
        </w:tc>
        <w:tc>
          <w:tcPr>
            <w:tcW w:type="dxa" w:w="6520"/>
            <w:tcMar>
              <w:top w:w="75" w:type="dxa"/>
              <w:start w:w="80" w:type="dxa"/>
              <w:bottom w:w="75" w:type="dxa"/>
              <w:end w:w="80" w:type="dxa"/>
            </w:tcMar>
            <w:vAlign w:val="top"/>
          </w:tcPr>
          <w:p>
            <w:pPr>
              <w:spacing w:after="0"/>
            </w:pPr>
            <w:r>
              <w:rPr>
                <w:rFonts w:ascii="Arial" w:hAnsi="Arial"/>
                <w:b w:val="0"/>
                <w:sz w:val="15"/>
              </w:rPr>
              <w:t>VaR is a quantile under a model.</w:t>
            </w:r>
          </w:p>
        </w:tc>
      </w:tr>
      <w:tr>
        <w:tc>
          <w:tcPr>
            <w:tcW w:type="dxa" w:w="3231"/>
            <w:tcMar>
              <w:top w:w="75" w:type="dxa"/>
              <w:start w:w="80" w:type="dxa"/>
              <w:bottom w:w="75" w:type="dxa"/>
              <w:end w:w="80" w:type="dxa"/>
            </w:tcMar>
            <w:vAlign w:val="top"/>
          </w:tcPr>
          <w:p>
            <w:pPr>
              <w:spacing w:after="0"/>
            </w:pPr>
            <w:r>
              <w:rPr>
                <w:rFonts w:ascii="Arial" w:hAnsi="Arial"/>
                <w:b/>
                <w:sz w:val="15"/>
              </w:rPr>
              <w:t>Monte Carlo vs a financial model</w:t>
            </w:r>
          </w:p>
        </w:tc>
        <w:tc>
          <w:tcPr>
            <w:tcW w:type="dxa" w:w="6520"/>
            <w:tcMar>
              <w:top w:w="75" w:type="dxa"/>
              <w:start w:w="80" w:type="dxa"/>
              <w:bottom w:w="75" w:type="dxa"/>
              <w:end w:w="80" w:type="dxa"/>
            </w:tcMar>
            <w:vAlign w:val="top"/>
          </w:tcPr>
          <w:p>
            <w:pPr>
              <w:spacing w:after="0"/>
            </w:pPr>
            <w:r>
              <w:rPr>
                <w:rFonts w:ascii="Arial" w:hAnsi="Arial"/>
                <w:b w:val="0"/>
                <w:sz w:val="15"/>
              </w:rPr>
              <w:t>Monte Carlo is a numerical integration/simulation technique; dynamics and measure must be specified.</w:t>
            </w:r>
          </w:p>
        </w:tc>
      </w:tr>
      <w:tr>
        <w:tc>
          <w:tcPr>
            <w:tcW w:type="dxa" w:w="3231"/>
            <w:tcMar>
              <w:top w:w="75" w:type="dxa"/>
              <w:start w:w="80" w:type="dxa"/>
              <w:bottom w:w="75" w:type="dxa"/>
              <w:end w:w="80" w:type="dxa"/>
            </w:tcMar>
            <w:vAlign w:val="top"/>
          </w:tcPr>
          <w:p>
            <w:pPr>
              <w:spacing w:after="0"/>
            </w:pPr>
            <w:r>
              <w:rPr>
                <w:rFonts w:ascii="Arial" w:hAnsi="Arial"/>
                <w:b/>
                <w:sz w:val="15"/>
              </w:rPr>
              <w:t>ARMA vs GARCH</w:t>
            </w:r>
          </w:p>
        </w:tc>
        <w:tc>
          <w:tcPr>
            <w:tcW w:type="dxa" w:w="6520"/>
            <w:tcMar>
              <w:top w:w="75" w:type="dxa"/>
              <w:start w:w="80" w:type="dxa"/>
              <w:bottom w:w="75" w:type="dxa"/>
              <w:end w:w="80" w:type="dxa"/>
            </w:tcMar>
            <w:vAlign w:val="top"/>
          </w:tcPr>
          <w:p>
            <w:pPr>
              <w:spacing w:after="0"/>
            </w:pPr>
            <w:r>
              <w:rPr>
                <w:rFonts w:ascii="Arial" w:hAnsi="Arial"/>
                <w:b w:val="0"/>
                <w:sz w:val="15"/>
              </w:rPr>
              <w:t>ARMA addresses conditional mean dependence; GARCH addresses conditional variance.</w:t>
            </w:r>
          </w:p>
        </w:tc>
      </w:tr>
      <w:tr>
        <w:tc>
          <w:tcPr>
            <w:tcW w:type="dxa" w:w="3231"/>
            <w:tcMar>
              <w:top w:w="75" w:type="dxa"/>
              <w:start w:w="80" w:type="dxa"/>
              <w:bottom w:w="75" w:type="dxa"/>
              <w:end w:w="80" w:type="dxa"/>
            </w:tcMar>
            <w:vAlign w:val="top"/>
          </w:tcPr>
          <w:p>
            <w:pPr>
              <w:spacing w:after="0"/>
            </w:pPr>
            <w:r>
              <w:rPr>
                <w:rFonts w:ascii="Arial" w:hAnsi="Arial"/>
                <w:b/>
                <w:sz w:val="15"/>
              </w:rPr>
              <w:t>Liquidity vs capacity</w:t>
            </w:r>
          </w:p>
        </w:tc>
        <w:tc>
          <w:tcPr>
            <w:tcW w:type="dxa" w:w="6520"/>
            <w:tcMar>
              <w:top w:w="75" w:type="dxa"/>
              <w:start w:w="80" w:type="dxa"/>
              <w:bottom w:w="75" w:type="dxa"/>
              <w:end w:w="80" w:type="dxa"/>
            </w:tcMar>
            <w:vAlign w:val="top"/>
          </w:tcPr>
          <w:p>
            <w:pPr>
              <w:spacing w:after="0"/>
            </w:pPr>
            <w:r>
              <w:rPr>
                <w:rFonts w:ascii="Arial" w:hAnsi="Arial"/>
                <w:b w:val="0"/>
                <w:sz w:val="15"/>
              </w:rPr>
              <w:t>Liquidity is ability to trade a quantity; capacity is how much strategy size can be scaled before net edge deteriorates.</w:t>
            </w:r>
          </w:p>
        </w:tc>
      </w:tr>
    </w:tbl>
    <w:p>
      <w:pPr>
        <w:spacing w:after="0"/>
      </w:pPr>
    </w:p>
    <w:p>
      <w:pPr>
        <w:pStyle w:val="Heading2"/>
        <w:keepNext/>
        <w:spacing w:before="160" w:after="100"/>
      </w:pPr>
      <w:r>
        <w:rPr>
          <w:rFonts w:ascii="Arial" w:hAnsi="Arial"/>
          <w:b/>
          <w:sz w:val="25"/>
        </w:rPr>
        <w:t>6.2 Red flags an interviewer may probe</w:t>
      </w:r>
    </w:p>
    <w:p>
      <w:pPr>
        <w:pStyle w:val="ListBullet"/>
        <w:spacing w:after="50" w:line="247" w:lineRule="auto"/>
      </w:pPr>
      <w:r>
        <w:rPr>
          <w:rFonts w:ascii="Arial" w:hAnsi="Arial"/>
        </w:rPr>
        <w:t>You quote a high Sharpe without defining execution, costs and whether it was simulated or live.</w:t>
      </w:r>
    </w:p>
    <w:p>
      <w:pPr>
        <w:pStyle w:val="ListBullet"/>
        <w:spacing w:after="50" w:line="247" w:lineRule="auto"/>
      </w:pPr>
      <w:r>
        <w:rPr>
          <w:rFonts w:ascii="Arial" w:hAnsi="Arial"/>
        </w:rPr>
        <w:t>You say "Bayesian" without defining prior, likelihood, posterior and updated quantity.</w:t>
      </w:r>
    </w:p>
    <w:p>
      <w:pPr>
        <w:pStyle w:val="ListBullet"/>
        <w:spacing w:after="50" w:line="247" w:lineRule="auto"/>
      </w:pPr>
      <w:r>
        <w:rPr>
          <w:rFonts w:ascii="Arial" w:hAnsi="Arial"/>
        </w:rPr>
        <w:t>You say "stacking" without explaining how OOS base predictions were generated.</w:t>
      </w:r>
    </w:p>
    <w:p>
      <w:pPr>
        <w:pStyle w:val="ListBullet"/>
        <w:spacing w:after="50" w:line="247" w:lineRule="auto"/>
      </w:pPr>
      <w:r>
        <w:rPr>
          <w:rFonts w:ascii="Arial" w:hAnsi="Arial"/>
        </w:rPr>
        <w:t>You say "we optimised RFQ pricing" when the work only estimated win probability.</w:t>
      </w:r>
    </w:p>
    <w:p>
      <w:pPr>
        <w:pStyle w:val="ListBullet"/>
        <w:spacing w:after="50" w:line="247" w:lineRule="auto"/>
      </w:pPr>
      <w:r>
        <w:rPr>
          <w:rFonts w:ascii="Arial" w:hAnsi="Arial"/>
        </w:rPr>
        <w:t>You use later winning price / corrections / post-trade information as if it were available before the decision.</w:t>
      </w:r>
    </w:p>
    <w:p>
      <w:pPr>
        <w:pStyle w:val="ListBullet"/>
        <w:spacing w:after="50" w:line="247" w:lineRule="auto"/>
      </w:pPr>
      <w:r>
        <w:rPr>
          <w:rFonts w:ascii="Arial" w:hAnsi="Arial"/>
        </w:rPr>
        <w:t>You compare bond price points, FX pips and swap basis points without converting to monetary/risk units.</w:t>
      </w:r>
    </w:p>
    <w:p>
      <w:pPr>
        <w:pStyle w:val="ListBullet"/>
        <w:spacing w:after="50" w:line="247" w:lineRule="auto"/>
      </w:pPr>
      <w:r>
        <w:rPr>
          <w:rFonts w:ascii="Arial" w:hAnsi="Arial"/>
        </w:rPr>
        <w:t>You present all broader Markets methods as one model rather than separate problems.</w:t>
      </w:r>
    </w:p>
    <w:p>
      <w:pPr>
        <w:pStyle w:val="ListBullet"/>
        <w:spacing w:after="50" w:line="247" w:lineRule="auto"/>
      </w:pPr>
      <w:r>
        <w:rPr>
          <w:rFonts w:ascii="Arial" w:hAnsi="Arial"/>
        </w:rPr>
        <w:t>You give extremely high short-horizon accuracy without first checking leakage.</w:t>
      </w:r>
    </w:p>
    <w:p>
      <w:pPr>
        <w:pStyle w:val="Heading2"/>
        <w:keepNext/>
        <w:spacing w:before="160" w:after="100"/>
      </w:pPr>
      <w:r>
        <w:rPr>
          <w:rFonts w:ascii="Arial" w:hAnsi="Arial"/>
          <w:b/>
          <w:sz w:val="25"/>
        </w:rPr>
        <w:t>6.3 Real facts to recover before the interview</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18"/>
        <w:gridCol w:w="5018"/>
      </w:tblGrid>
      <w:tr>
        <w:trPr>
          <w:tblHeader w:val="true"/>
        </w:trPr>
        <w:tc>
          <w:tcPr>
            <w:tcW w:type="dxa" w:w="2381"/>
            <w:shd w:fill="D9E1F2"/>
            <w:tcMar>
              <w:top w:w="80" w:type="dxa"/>
              <w:start w:w="80" w:type="dxa"/>
              <w:bottom w:w="80" w:type="dxa"/>
              <w:end w:w="80" w:type="dxa"/>
            </w:tcMar>
            <w:vAlign w:val="center"/>
          </w:tcPr>
          <w:p>
            <w:pPr>
              <w:jc w:val="left"/>
            </w:pPr>
            <w:r>
              <w:rPr>
                <w:rFonts w:ascii="Arial" w:hAnsi="Arial"/>
                <w:b/>
                <w:sz w:val="16"/>
              </w:rPr>
              <w:t>Story</w:t>
            </w:r>
          </w:p>
        </w:tc>
        <w:tc>
          <w:tcPr>
            <w:tcW w:type="dxa" w:w="7370"/>
            <w:shd w:fill="D9E1F2"/>
            <w:tcMar>
              <w:top w:w="80" w:type="dxa"/>
              <w:start w:w="80" w:type="dxa"/>
              <w:bottom w:w="80" w:type="dxa"/>
              <w:end w:w="80" w:type="dxa"/>
            </w:tcMar>
            <w:vAlign w:val="center"/>
          </w:tcPr>
          <w:p>
            <w:pPr>
              <w:jc w:val="left"/>
            </w:pPr>
            <w:r>
              <w:rPr>
                <w:rFonts w:ascii="Arial" w:hAnsi="Arial"/>
                <w:b/>
                <w:sz w:val="16"/>
              </w:rPr>
              <w:t>Verify before stating</w:t>
            </w:r>
          </w:p>
        </w:tc>
      </w:tr>
      <w:tr>
        <w:tc>
          <w:tcPr>
            <w:tcW w:type="dxa" w:w="2381"/>
            <w:tcMar>
              <w:top w:w="75" w:type="dxa"/>
              <w:start w:w="80" w:type="dxa"/>
              <w:bottom w:w="75" w:type="dxa"/>
              <w:end w:w="80" w:type="dxa"/>
            </w:tcMar>
            <w:vAlign w:val="top"/>
          </w:tcPr>
          <w:p>
            <w:pPr>
              <w:spacing w:after="0"/>
            </w:pPr>
            <w:r>
              <w:rPr>
                <w:rFonts w:ascii="Arial" w:hAnsi="Arial"/>
                <w:b/>
                <w:sz w:val="16"/>
              </w:rPr>
              <w:t>FX prediction</w:t>
            </w:r>
          </w:p>
        </w:tc>
        <w:tc>
          <w:tcPr>
            <w:tcW w:type="dxa" w:w="7370"/>
            <w:tcMar>
              <w:top w:w="75" w:type="dxa"/>
              <w:start w:w="80" w:type="dxa"/>
              <w:bottom w:w="75" w:type="dxa"/>
              <w:end w:w="80" w:type="dxa"/>
            </w:tcMar>
            <w:vAlign w:val="top"/>
          </w:tcPr>
          <w:p>
            <w:pPr>
              <w:spacing w:after="0"/>
            </w:pPr>
            <w:r>
              <w:rPr>
                <w:rFonts w:ascii="Arial" w:hAnsi="Arial"/>
                <w:b w:val="0"/>
                <w:sz w:val="16"/>
              </w:rPr>
              <w:t>Actual pair(s); horizon(s); sampling frequency; data period; exact model family; your personal responsibilities; research/shadow/live status; any verified performance number.</w:t>
            </w:r>
          </w:p>
        </w:tc>
      </w:tr>
      <w:tr>
        <w:tc>
          <w:tcPr>
            <w:tcW w:type="dxa" w:w="2381"/>
            <w:tcMar>
              <w:top w:w="75" w:type="dxa"/>
              <w:start w:w="80" w:type="dxa"/>
              <w:bottom w:w="75" w:type="dxa"/>
              <w:end w:w="80" w:type="dxa"/>
            </w:tcMar>
            <w:vAlign w:val="top"/>
          </w:tcPr>
          <w:p>
            <w:pPr>
              <w:spacing w:after="0"/>
            </w:pPr>
            <w:r>
              <w:rPr>
                <w:rFonts w:ascii="Arial" w:hAnsi="Arial"/>
                <w:b/>
                <w:sz w:val="16"/>
              </w:rPr>
              <w:t>Signal research</w:t>
            </w:r>
          </w:p>
        </w:tc>
        <w:tc>
          <w:tcPr>
            <w:tcW w:type="dxa" w:w="7370"/>
            <w:tcMar>
              <w:top w:w="75" w:type="dxa"/>
              <w:start w:w="80" w:type="dxa"/>
              <w:bottom w:w="75" w:type="dxa"/>
              <w:end w:w="80" w:type="dxa"/>
            </w:tcMar>
            <w:vAlign w:val="top"/>
          </w:tcPr>
          <w:p>
            <w:pPr>
              <w:spacing w:after="0"/>
            </w:pPr>
            <w:r>
              <w:rPr>
                <w:rFonts w:ascii="Arial" w:hAnsi="Arial"/>
                <w:b w:val="0"/>
                <w:sz w:val="16"/>
              </w:rPr>
              <w:t>Exact ElasticNet target; hyperparameter method; base learners in stack; construction of OOS stack inputs; exact validation split.</w:t>
            </w:r>
          </w:p>
        </w:tc>
      </w:tr>
      <w:tr>
        <w:tc>
          <w:tcPr>
            <w:tcW w:type="dxa" w:w="2381"/>
            <w:tcMar>
              <w:top w:w="75" w:type="dxa"/>
              <w:start w:w="80" w:type="dxa"/>
              <w:bottom w:w="75" w:type="dxa"/>
              <w:end w:w="80" w:type="dxa"/>
            </w:tcMar>
            <w:vAlign w:val="top"/>
          </w:tcPr>
          <w:p>
            <w:pPr>
              <w:spacing w:after="0"/>
            </w:pPr>
            <w:r>
              <w:rPr>
                <w:rFonts w:ascii="Arial" w:hAnsi="Arial"/>
                <w:b/>
                <w:sz w:val="16"/>
              </w:rPr>
              <w:t>RFQ pricing</w:t>
            </w:r>
          </w:p>
        </w:tc>
        <w:tc>
          <w:tcPr>
            <w:tcW w:type="dxa" w:w="7370"/>
            <w:tcMar>
              <w:top w:w="75" w:type="dxa"/>
              <w:start w:w="80" w:type="dxa"/>
              <w:bottom w:w="75" w:type="dxa"/>
              <w:end w:w="80" w:type="dxa"/>
            </w:tcMar>
            <w:vAlign w:val="top"/>
          </w:tcPr>
          <w:p>
            <w:pPr>
              <w:spacing w:after="0"/>
            </w:pPr>
            <w:r>
              <w:rPr>
                <w:rFonts w:ascii="Arial" w:hAnsi="Arial"/>
                <w:b w:val="0"/>
                <w:sz w:val="16"/>
              </w:rPr>
              <w:t>Which desks/products; positive-class definition; actual Bayesian mechanism; deployment meaning; automation boundary; model metrics if remembered.</w:t>
            </w:r>
          </w:p>
        </w:tc>
      </w:tr>
      <w:tr>
        <w:tc>
          <w:tcPr>
            <w:tcW w:type="dxa" w:w="2381"/>
            <w:tcMar>
              <w:top w:w="75" w:type="dxa"/>
              <w:start w:w="80" w:type="dxa"/>
              <w:bottom w:w="75" w:type="dxa"/>
              <w:end w:w="80" w:type="dxa"/>
            </w:tcMar>
            <w:vAlign w:val="top"/>
          </w:tcPr>
          <w:p>
            <w:pPr>
              <w:spacing w:after="0"/>
            </w:pPr>
            <w:r>
              <w:rPr>
                <w:rFonts w:ascii="Arial" w:hAnsi="Arial"/>
                <w:b/>
                <w:sz w:val="16"/>
              </w:rPr>
              <w:t>Market-making economics</w:t>
            </w:r>
          </w:p>
        </w:tc>
        <w:tc>
          <w:tcPr>
            <w:tcW w:type="dxa" w:w="7370"/>
            <w:tcMar>
              <w:top w:w="75" w:type="dxa"/>
              <w:start w:w="80" w:type="dxa"/>
              <w:bottom w:w="75" w:type="dxa"/>
              <w:end w:w="80" w:type="dxa"/>
            </w:tcMar>
            <w:vAlign w:val="top"/>
          </w:tcPr>
          <w:p>
            <w:pPr>
              <w:spacing w:after="0"/>
            </w:pPr>
            <w:r>
              <w:rPr>
                <w:rFonts w:ascii="Arial" w:hAnsi="Arial"/>
                <w:b w:val="0"/>
                <w:sz w:val="16"/>
              </w:rPr>
              <w:t>Exact spread/hit/P&amp;L definitions; benchmark price; markout horizons; whether economics drove model selection, reporting or live quote policy.</w:t>
            </w:r>
          </w:p>
        </w:tc>
      </w:tr>
      <w:tr>
        <w:tc>
          <w:tcPr>
            <w:tcW w:type="dxa" w:w="2381"/>
            <w:tcMar>
              <w:top w:w="75" w:type="dxa"/>
              <w:start w:w="80" w:type="dxa"/>
              <w:bottom w:w="75" w:type="dxa"/>
              <w:end w:w="80" w:type="dxa"/>
            </w:tcMar>
            <w:vAlign w:val="top"/>
          </w:tcPr>
          <w:p>
            <w:pPr>
              <w:spacing w:after="0"/>
            </w:pPr>
            <w:r>
              <w:rPr>
                <w:rFonts w:ascii="Arial" w:hAnsi="Arial"/>
                <w:b/>
                <w:sz w:val="16"/>
              </w:rPr>
              <w:t>Broader modelling</w:t>
            </w:r>
          </w:p>
        </w:tc>
        <w:tc>
          <w:tcPr>
            <w:tcW w:type="dxa" w:w="7370"/>
            <w:tcMar>
              <w:top w:w="75" w:type="dxa"/>
              <w:start w:w="80" w:type="dxa"/>
              <w:bottom w:w="75" w:type="dxa"/>
              <w:end w:w="80" w:type="dxa"/>
            </w:tcMar>
            <w:vAlign w:val="top"/>
          </w:tcPr>
          <w:p>
            <w:pPr>
              <w:spacing w:after="0"/>
            </w:pPr>
            <w:r>
              <w:rPr>
                <w:rFonts w:ascii="Arial" w:hAnsi="Arial"/>
                <w:b w:val="0"/>
                <w:sz w:val="16"/>
              </w:rPr>
              <w:t>One real concrete project for VaR/RNIV; one for forecasting/time series; one for liquidity/capacity if possible; your exact role and outcome.</w:t>
            </w:r>
          </w:p>
        </w:tc>
      </w:tr>
    </w:tbl>
    <w:p>
      <w:pPr>
        <w:spacing w:after="0"/>
      </w:pPr>
    </w:p>
    <w:p>
      <w:pPr>
        <w:pStyle w:val="Heading1"/>
        <w:keepNext/>
        <w:spacing w:before="240" w:after="100"/>
      </w:pPr>
      <w:r>
        <w:rPr>
          <w:rFonts w:ascii="Arial" w:hAnsi="Arial"/>
          <w:b/>
          <w:sz w:val="30"/>
        </w:rPr>
        <w:t>7. Interview-ready cheat sheets</w:t>
      </w:r>
    </w:p>
    <w:p>
      <w:pPr>
        <w:pStyle w:val="Heading2"/>
        <w:keepNext/>
        <w:spacing w:before="160" w:after="100"/>
      </w:pPr>
      <w:r>
        <w:rPr>
          <w:rFonts w:ascii="Arial" w:hAnsi="Arial"/>
          <w:b/>
          <w:sz w:val="25"/>
        </w:rPr>
        <w:t>7.1 FX - 60 second answer</w:t>
      </w:r>
    </w:p>
    <w:p>
      <w:pPr>
        <w:keepNext w:val="0"/>
        <w:spacing w:after="100" w:line="252" w:lineRule="auto"/>
      </w:pPr>
      <w:r>
        <w:rPr>
          <w:rFonts w:ascii="Arial" w:hAnsi="Arial"/>
          <w:i w:val="0"/>
        </w:rPr>
        <w:t>"I was one of three researchers investigating whether proprietary client flow, combined with public market-microstructure information, contained incremental information about short-horizon FX mid-price moves. The technical challenge was point-in-time reconstruction because market and client data were asynchronous. We engineered signed-flow, order-book imbalance, recent-return, volatility and cross-venue features, used regularised models such as ElasticNet and complementary learners, and validated through chronological out-of-sample testing. The key test was not just forecast accuracy: we compared against public-only baselines, controlled leakage and overlapping labels, and asked whether any edge survived latency, spread and execution costs. My personal contribution was [verified contribution]."</w:t>
      </w:r>
    </w:p>
    <w:p>
      <w:pPr>
        <w:pStyle w:val="Heading2"/>
        <w:keepNext/>
        <w:spacing w:before="160" w:after="100"/>
      </w:pPr>
      <w:r>
        <w:rPr>
          <w:rFonts w:ascii="Arial" w:hAnsi="Arial"/>
          <w:b/>
          <w:sz w:val="25"/>
        </w:rPr>
        <w:t>7.2 Signal research - 60 second answer</w:t>
      </w:r>
    </w:p>
    <w:p>
      <w:pPr>
        <w:keepNext w:val="0"/>
        <w:spacing w:after="100" w:line="252" w:lineRule="auto"/>
      </w:pPr>
      <w:r>
        <w:rPr>
          <w:rFonts w:ascii="Arial" w:hAnsi="Arial"/>
          <w:i w:val="0"/>
        </w:rPr>
        <w:t>"The signal work was really about research discipline. We had many correlated flow and market features and a low signal-to-noise target, so regularisation and time-aware validation mattered more than model complexity. We fitted preprocessing inside each training fold, tuned chronologically, generated true out-of-sample predictions for stacking, purged overlapping labels and kept a final future block untouched. The important evidence was incremental stability: did client flow add value beyond recent returns and public microstructure, and did that improvement persist across sessions, regimes, latency and cost stress?"</w:t>
      </w:r>
    </w:p>
    <w:p>
      <w:pPr>
        <w:pStyle w:val="Heading2"/>
        <w:keepNext/>
        <w:spacing w:before="160" w:after="100"/>
      </w:pPr>
      <w:r>
        <w:rPr>
          <w:rFonts w:ascii="Arial" w:hAnsi="Arial"/>
          <w:b/>
          <w:sz w:val="25"/>
        </w:rPr>
        <w:t>7.3 RFQ - 60 second answer</w:t>
      </w:r>
    </w:p>
    <w:p>
      <w:pPr>
        <w:keepNext w:val="0"/>
        <w:spacing w:after="100" w:line="252" w:lineRule="auto"/>
      </w:pPr>
      <w:r>
        <w:rPr>
          <w:rFonts w:ascii="Arial" w:hAnsi="Arial"/>
          <w:i w:val="0"/>
        </w:rPr>
        <w:t>"On RFQs, the model did not price the bond or swap itself. Fair value came from the desk valuation framework. We modelled the client response to a candidate quote: the probability we would win given the client, product, size, market state, competition, quote concession and inventory context. Logistic models gave a transparent price-response curve; Bayesian updating or shrinkage helped sparse client segments. We calibrated probabilities on future data and then passed them to an economic decision layer. The quote with the highest win probability was not necessarily the best quote."</w:t>
      </w:r>
    </w:p>
    <w:p>
      <w:pPr>
        <w:pStyle w:val="Heading2"/>
        <w:keepNext/>
        <w:spacing w:before="160" w:after="100"/>
      </w:pPr>
      <w:r>
        <w:rPr>
          <w:rFonts w:ascii="Arial" w:hAnsi="Arial"/>
          <w:b/>
          <w:sz w:val="25"/>
        </w:rPr>
        <w:t>7.4 Market-making economics - 60 second answer</w:t>
      </w:r>
    </w:p>
    <w:p>
      <w:pPr>
        <w:keepNext w:val="0"/>
        <w:spacing w:after="100" w:line="252" w:lineRule="auto"/>
      </w:pPr>
      <w:r>
        <w:rPr>
          <w:rFonts w:ascii="Arial" w:hAnsi="Arial"/>
          <w:i w:val="0"/>
        </w:rPr>
        <w:t>"We evaluated the tradeoff between win probability and the economics conditional on winning. A tighter quote can increase hit rate but reduce spread and expose the desk to more adverse flow. So we looked at expected contribution: win probability times conditional edge after hedge costs, fees and adverse markouts, adjusted for inventory and limits. We compared spread at matched hit rates, reconciled markouts and P&amp;L definitions and made sure not to double count costs. That connected the statistical model to a decision the desk could actually use."</w:t>
      </w:r>
    </w:p>
    <w:p>
      <w:pPr>
        <w:pStyle w:val="Heading2"/>
        <w:keepNext/>
        <w:spacing w:before="160" w:after="100"/>
      </w:pPr>
      <w:r>
        <w:rPr>
          <w:rFonts w:ascii="Arial" w:hAnsi="Arial"/>
          <w:b/>
          <w:sz w:val="25"/>
        </w:rPr>
        <w:t>7.5 Broader Markets modelling - 60 second answer</w:t>
      </w:r>
    </w:p>
    <w:p>
      <w:pPr>
        <w:keepNext w:val="0"/>
        <w:spacing w:after="100" w:line="252" w:lineRule="auto"/>
      </w:pPr>
      <w:r>
        <w:rPr>
          <w:rFonts w:ascii="Arial" w:hAnsi="Arial"/>
          <w:i w:val="0"/>
        </w:rPr>
        <w:t>"My broader Markets work covered several distinct quantitative problems. For risk measurement, the question was the portfolio loss distribution under market-factor shocks and where full revaluation was necessary versus sensitivity approximations. RNIV work focused on risks missing or poorly represented in the core model. For forecasting, ARMA-style diagnostics addressed conditional mean behaviour while GARCH addressed conditional variance. Monte Carlo was a numerical tool used differently for valuation and real-world risk, and liquidity/capacity analysis asked how execution costs and impact change as size increases. I would take whichever one is most relevant and go into the concrete project details."</w:t>
      </w:r>
    </w:p>
    <w:p>
      <w:pPr>
        <w:pStyle w:val="Heading2"/>
        <w:keepNext/>
        <w:spacing w:before="160" w:after="100"/>
      </w:pPr>
      <w:r>
        <w:rPr>
          <w:rFonts w:ascii="Arial" w:hAnsi="Arial"/>
          <w:b/>
          <w:sz w:val="25"/>
        </w:rPr>
        <w:t>7.6 Compact formula sheet</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5018"/>
        <w:gridCol w:w="5018"/>
      </w:tblGrid>
      <w:tr>
        <w:trPr>
          <w:tblHeader w:val="true"/>
        </w:trPr>
        <w:tc>
          <w:tcPr>
            <w:tcW w:type="dxa" w:w="3231"/>
            <w:shd w:fill="D9E1F2"/>
            <w:tcMar>
              <w:top w:w="80" w:type="dxa"/>
              <w:start w:w="80" w:type="dxa"/>
              <w:bottom w:w="80" w:type="dxa"/>
              <w:end w:w="80" w:type="dxa"/>
            </w:tcMar>
            <w:vAlign w:val="center"/>
          </w:tcPr>
          <w:p>
            <w:pPr>
              <w:jc w:val="left"/>
            </w:pPr>
            <w:r>
              <w:rPr>
                <w:rFonts w:ascii="Arial" w:hAnsi="Arial"/>
                <w:b/>
                <w:sz w:val="16"/>
              </w:rPr>
              <w:t>Concept</w:t>
            </w:r>
          </w:p>
        </w:tc>
        <w:tc>
          <w:tcPr>
            <w:tcW w:type="dxa" w:w="6520"/>
            <w:shd w:fill="D9E1F2"/>
            <w:tcMar>
              <w:top w:w="80" w:type="dxa"/>
              <w:start w:w="80" w:type="dxa"/>
              <w:bottom w:w="80" w:type="dxa"/>
              <w:end w:w="80" w:type="dxa"/>
            </w:tcMar>
            <w:vAlign w:val="center"/>
          </w:tcPr>
          <w:p>
            <w:pPr>
              <w:jc w:val="left"/>
            </w:pPr>
            <w:r>
              <w:rPr>
                <w:rFonts w:ascii="Arial" w:hAnsi="Arial"/>
                <w:b/>
                <w:sz w:val="16"/>
              </w:rPr>
              <w:t>Formula / definition</w:t>
            </w:r>
          </w:p>
        </w:tc>
      </w:tr>
      <w:tr>
        <w:tc>
          <w:tcPr>
            <w:tcW w:type="dxa" w:w="3231"/>
            <w:tcMar>
              <w:top w:w="75" w:type="dxa"/>
              <w:start w:w="80" w:type="dxa"/>
              <w:bottom w:w="75" w:type="dxa"/>
              <w:end w:w="80" w:type="dxa"/>
            </w:tcMar>
            <w:vAlign w:val="top"/>
          </w:tcPr>
          <w:p>
            <w:pPr>
              <w:spacing w:after="0"/>
            </w:pPr>
            <w:r>
              <w:rPr>
                <w:rFonts w:ascii="Arial" w:hAnsi="Arial"/>
                <w:b/>
                <w:sz w:val="16"/>
              </w:rPr>
              <w:t>FX mid</w:t>
            </w:r>
          </w:p>
        </w:tc>
        <w:tc>
          <w:tcPr>
            <w:tcW w:type="dxa" w:w="6520"/>
            <w:tcMar>
              <w:top w:w="75" w:type="dxa"/>
              <w:start w:w="80" w:type="dxa"/>
              <w:bottom w:w="75" w:type="dxa"/>
              <w:end w:w="80" w:type="dxa"/>
            </w:tcMar>
            <w:vAlign w:val="top"/>
          </w:tcPr>
          <w:p>
            <w:pPr>
              <w:spacing w:after="0" w:before="0"/>
            </w:pPr>
            <w:r>
              <w:rPr>
                <w:rFonts w:ascii="Cambria Math" w:hAnsi="Cambria Math" w:eastAsia="Cambria Math" w:cs="Cambria Math"/>
                <w:sz w:val="19"/>
              </w:rPr>
              <w:t>mid = (bid + ask) / 2</w:t>
            </w:r>
          </w:p>
        </w:tc>
      </w:tr>
      <w:tr>
        <w:tc>
          <w:tcPr>
            <w:tcW w:type="dxa" w:w="3231"/>
            <w:tcMar>
              <w:top w:w="75" w:type="dxa"/>
              <w:start w:w="80" w:type="dxa"/>
              <w:bottom w:w="75" w:type="dxa"/>
              <w:end w:w="80" w:type="dxa"/>
            </w:tcMar>
            <w:vAlign w:val="top"/>
          </w:tcPr>
          <w:p>
            <w:pPr>
              <w:spacing w:after="0"/>
            </w:pPr>
            <w:r>
              <w:rPr>
                <w:rFonts w:ascii="Arial" w:hAnsi="Arial"/>
                <w:b/>
                <w:sz w:val="16"/>
              </w:rPr>
              <w:t>Forward return target</w:t>
            </w:r>
          </w:p>
        </w:tc>
        <w:tc>
          <w:tcPr>
            <w:tcW w:type="dxa" w:w="6520"/>
            <w:tcMar>
              <w:top w:w="75" w:type="dxa"/>
              <w:start w:w="80" w:type="dxa"/>
              <w:bottom w:w="75" w:type="dxa"/>
              <w:end w:w="80" w:type="dxa"/>
            </w:tcMar>
            <w:vAlign w:val="top"/>
          </w:tcPr>
          <w:p>
            <w:pPr>
              <w:spacing w:after="0" w:before="0"/>
            </w:pPr>
            <w:r>
              <w:rPr>
                <w:rFonts w:ascii="Cambria Math" w:hAnsi="Cambria Math" w:eastAsia="Cambria Math" w:cs="Cambria Math"/>
                <w:sz w:val="19"/>
              </w:rPr>
              <w:t>y = 10,000 · [log(mid_future) − log(mid_now)]</w:t>
            </w:r>
          </w:p>
        </w:tc>
      </w:tr>
      <w:tr>
        <w:tc>
          <w:tcPr>
            <w:tcW w:type="dxa" w:w="3231"/>
            <w:tcMar>
              <w:top w:w="75" w:type="dxa"/>
              <w:start w:w="80" w:type="dxa"/>
              <w:bottom w:w="75" w:type="dxa"/>
              <w:end w:w="80" w:type="dxa"/>
            </w:tcMar>
            <w:vAlign w:val="top"/>
          </w:tcPr>
          <w:p>
            <w:pPr>
              <w:spacing w:after="0"/>
            </w:pPr>
            <w:r>
              <w:rPr>
                <w:rFonts w:ascii="Arial" w:hAnsi="Arial"/>
                <w:b/>
                <w:sz w:val="16"/>
              </w:rPr>
              <w:t>Order-book imbalance</w:t>
            </w:r>
          </w:p>
        </w:tc>
        <w:tc>
          <w:tcPr>
            <w:tcW w:type="dxa" w:w="6520"/>
            <w:tcMar>
              <w:top w:w="75" w:type="dxa"/>
              <w:start w:w="80" w:type="dxa"/>
              <w:bottom w:w="75" w:type="dxa"/>
              <w:end w:w="80" w:type="dxa"/>
            </w:tcMar>
            <w:vAlign w:val="top"/>
          </w:tcPr>
          <w:p>
            <w:pPr>
              <w:spacing w:after="0"/>
            </w:pPr>
            <w:r>
              <w:rPr>
                <w:rFonts w:ascii="Arial" w:hAnsi="Arial"/>
                <w:b w:val="0"/>
                <w:sz w:val="16"/>
              </w:rPr>
              <w:t>(bid_size - ask_size) / (bid_size + ask_size)</w:t>
            </w:r>
          </w:p>
        </w:tc>
      </w:tr>
      <w:tr>
        <w:tc>
          <w:tcPr>
            <w:tcW w:type="dxa" w:w="3231"/>
            <w:tcMar>
              <w:top w:w="75" w:type="dxa"/>
              <w:start w:w="80" w:type="dxa"/>
              <w:bottom w:w="75" w:type="dxa"/>
              <w:end w:w="80" w:type="dxa"/>
            </w:tcMar>
            <w:vAlign w:val="top"/>
          </w:tcPr>
          <w:p>
            <w:pPr>
              <w:spacing w:after="0"/>
            </w:pPr>
            <w:r>
              <w:rPr>
                <w:rFonts w:ascii="Arial" w:hAnsi="Arial"/>
                <w:b/>
                <w:sz w:val="16"/>
              </w:rPr>
              <w:t>Microprice</w:t>
            </w:r>
          </w:p>
        </w:tc>
        <w:tc>
          <w:tcPr>
            <w:tcW w:type="dxa" w:w="6520"/>
            <w:tcMar>
              <w:top w:w="75" w:type="dxa"/>
              <w:start w:w="80" w:type="dxa"/>
              <w:bottom w:w="75" w:type="dxa"/>
              <w:end w:w="80" w:type="dxa"/>
            </w:tcMar>
            <w:vAlign w:val="top"/>
          </w:tcPr>
          <w:p>
            <w:pPr>
              <w:spacing w:after="0"/>
            </w:pPr>
            <w:r>
              <w:rPr>
                <w:rFonts w:ascii="Arial" w:hAnsi="Arial"/>
                <w:b w:val="0"/>
                <w:sz w:val="16"/>
              </w:rPr>
              <w:t>(ask*bid_size + bid*ask_size) / (bid_size + ask_size)</w:t>
            </w:r>
          </w:p>
        </w:tc>
      </w:tr>
      <w:tr>
        <w:tc>
          <w:tcPr>
            <w:tcW w:type="dxa" w:w="3231"/>
            <w:tcMar>
              <w:top w:w="75" w:type="dxa"/>
              <w:start w:w="80" w:type="dxa"/>
              <w:bottom w:w="75" w:type="dxa"/>
              <w:end w:w="80" w:type="dxa"/>
            </w:tcMar>
            <w:vAlign w:val="top"/>
          </w:tcPr>
          <w:p>
            <w:pPr>
              <w:spacing w:after="0"/>
            </w:pPr>
            <w:r>
              <w:rPr>
                <w:rFonts w:ascii="Arial" w:hAnsi="Arial"/>
                <w:b/>
                <w:sz w:val="16"/>
              </w:rPr>
              <w:t>ElasticNet</w:t>
            </w:r>
          </w:p>
        </w:tc>
        <w:tc>
          <w:tcPr>
            <w:tcW w:type="dxa" w:w="6520"/>
            <w:tcMar>
              <w:top w:w="75" w:type="dxa"/>
              <w:start w:w="80" w:type="dxa"/>
              <w:bottom w:w="75" w:type="dxa"/>
              <w:end w:w="80" w:type="dxa"/>
            </w:tcMar>
            <w:vAlign w:val="top"/>
          </w:tcPr>
          <w:p>
            <w:pPr>
              <w:spacing w:after="0"/>
            </w:pPr>
            <w:r>
              <w:rPr>
                <w:rFonts w:ascii="Arial" w:hAnsi="Arial"/>
                <w:b w:val="0"/>
                <w:sz w:val="16"/>
              </w:rPr>
              <w:t>MSE + lambda[alpha||beta||_1 + (1-alpha)||beta||_2^2]</w:t>
            </w:r>
          </w:p>
        </w:tc>
      </w:tr>
      <w:tr>
        <w:tc>
          <w:tcPr>
            <w:tcW w:type="dxa" w:w="3231"/>
            <w:tcMar>
              <w:top w:w="75" w:type="dxa"/>
              <w:start w:w="80" w:type="dxa"/>
              <w:bottom w:w="75" w:type="dxa"/>
              <w:end w:w="80" w:type="dxa"/>
            </w:tcMar>
            <w:vAlign w:val="top"/>
          </w:tcPr>
          <w:p>
            <w:pPr>
              <w:spacing w:after="0"/>
            </w:pPr>
            <w:r>
              <w:rPr>
                <w:rFonts w:ascii="Arial" w:hAnsi="Arial"/>
                <w:b/>
                <w:sz w:val="16"/>
              </w:rPr>
              <w:t>Logistic win model</w:t>
            </w:r>
          </w:p>
        </w:tc>
        <w:tc>
          <w:tcPr>
            <w:tcW w:type="dxa" w:w="6520"/>
            <w:tcMar>
              <w:top w:w="75" w:type="dxa"/>
              <w:start w:w="80" w:type="dxa"/>
              <w:bottom w:w="75" w:type="dxa"/>
              <w:end w:w="80" w:type="dxa"/>
            </w:tcMar>
            <w:vAlign w:val="top"/>
          </w:tcPr>
          <w:p>
            <w:pPr>
              <w:spacing w:after="0" w:before="0"/>
            </w:pPr>
            <w:r>
              <w:rPr>
                <w:rFonts w:ascii="Cambria Math" w:hAnsi="Cambria Math" w:eastAsia="Cambria Math" w:cs="Cambria Math"/>
                <w:sz w:val="19"/>
              </w:rPr>
              <w:t>p = 1 / (1 + e^(−βᵀX))</w:t>
            </w:r>
          </w:p>
        </w:tc>
      </w:tr>
      <w:tr>
        <w:tc>
          <w:tcPr>
            <w:tcW w:type="dxa" w:w="3231"/>
            <w:tcMar>
              <w:top w:w="75" w:type="dxa"/>
              <w:start w:w="80" w:type="dxa"/>
              <w:bottom w:w="75" w:type="dxa"/>
              <w:end w:w="80" w:type="dxa"/>
            </w:tcMar>
            <w:vAlign w:val="top"/>
          </w:tcPr>
          <w:p>
            <w:pPr>
              <w:spacing w:after="0"/>
            </w:pPr>
            <w:r>
              <w:rPr>
                <w:rFonts w:ascii="Arial" w:hAnsi="Arial"/>
                <w:b/>
                <w:sz w:val="16"/>
              </w:rPr>
              <w:t>Beta update</w:t>
            </w:r>
          </w:p>
        </w:tc>
        <w:tc>
          <w:tcPr>
            <w:tcW w:type="dxa" w:w="6520"/>
            <w:tcMar>
              <w:top w:w="75" w:type="dxa"/>
              <w:start w:w="80" w:type="dxa"/>
              <w:bottom w:w="75" w:type="dxa"/>
              <w:end w:w="80" w:type="dxa"/>
            </w:tcMar>
            <w:vAlign w:val="top"/>
          </w:tcPr>
          <w:p>
            <w:pPr>
              <w:spacing w:after="0"/>
            </w:pPr>
            <w:r>
              <w:rPr>
                <w:rFonts w:ascii="Arial" w:hAnsi="Arial"/>
                <w:b w:val="0"/>
                <w:sz w:val="16"/>
              </w:rPr>
              <w:t>Beta(a,b) + w wins + l losses -&gt; Beta(a+w,b+l)</w:t>
            </w:r>
          </w:p>
        </w:tc>
      </w:tr>
      <w:tr>
        <w:tc>
          <w:tcPr>
            <w:tcW w:type="dxa" w:w="3231"/>
            <w:tcMar>
              <w:top w:w="75" w:type="dxa"/>
              <w:start w:w="80" w:type="dxa"/>
              <w:bottom w:w="75" w:type="dxa"/>
              <w:end w:w="80" w:type="dxa"/>
            </w:tcMar>
            <w:vAlign w:val="top"/>
          </w:tcPr>
          <w:p>
            <w:pPr>
              <w:spacing w:after="0"/>
            </w:pPr>
            <w:r>
              <w:rPr>
                <w:rFonts w:ascii="Arial" w:hAnsi="Arial"/>
                <w:b/>
                <w:sz w:val="16"/>
              </w:rPr>
              <w:t>Quote expected value</w:t>
            </w:r>
          </w:p>
        </w:tc>
        <w:tc>
          <w:tcPr>
            <w:tcW w:type="dxa" w:w="6520"/>
            <w:tcMar>
              <w:top w:w="75" w:type="dxa"/>
              <w:start w:w="80" w:type="dxa"/>
              <w:bottom w:w="75" w:type="dxa"/>
              <w:end w:w="80" w:type="dxa"/>
            </w:tcMar>
            <w:vAlign w:val="top"/>
          </w:tcPr>
          <w:p>
            <w:pPr>
              <w:spacing w:after="0"/>
            </w:pPr>
            <w:r>
              <w:rPr>
                <w:rFonts w:ascii="Arial" w:hAnsi="Arial"/>
                <w:b w:val="0"/>
                <w:sz w:val="16"/>
              </w:rPr>
              <w:t>p_win * E[net contribution | win]</w:t>
            </w:r>
          </w:p>
        </w:tc>
      </w:tr>
      <w:tr>
        <w:tc>
          <w:tcPr>
            <w:tcW w:type="dxa" w:w="3231"/>
            <w:tcMar>
              <w:top w:w="75" w:type="dxa"/>
              <w:start w:w="80" w:type="dxa"/>
              <w:bottom w:w="75" w:type="dxa"/>
              <w:end w:w="80" w:type="dxa"/>
            </w:tcMar>
            <w:vAlign w:val="top"/>
          </w:tcPr>
          <w:p>
            <w:pPr>
              <w:spacing w:after="0"/>
            </w:pPr>
            <w:r>
              <w:rPr>
                <w:rFonts w:ascii="Arial" w:hAnsi="Arial"/>
                <w:b/>
                <w:sz w:val="16"/>
              </w:rPr>
              <w:t>Swap first-order quote value</w:t>
            </w:r>
          </w:p>
        </w:tc>
        <w:tc>
          <w:tcPr>
            <w:tcW w:type="dxa" w:w="6520"/>
            <w:tcMar>
              <w:top w:w="75" w:type="dxa"/>
              <w:start w:w="80" w:type="dxa"/>
              <w:bottom w:w="75" w:type="dxa"/>
              <w:end w:w="80" w:type="dxa"/>
            </w:tcMar>
            <w:vAlign w:val="top"/>
          </w:tcPr>
          <w:p>
            <w:pPr>
              <w:spacing w:after="0"/>
            </w:pPr>
            <w:r>
              <w:rPr>
                <w:rFonts w:ascii="Arial" w:hAnsi="Arial"/>
                <w:b w:val="0"/>
                <w:sz w:val="16"/>
              </w:rPr>
              <w:t>quote difference in bp * DV01</w:t>
            </w:r>
          </w:p>
        </w:tc>
      </w:tr>
      <w:tr>
        <w:tc>
          <w:tcPr>
            <w:tcW w:type="dxa" w:w="3231"/>
            <w:tcMar>
              <w:top w:w="75" w:type="dxa"/>
              <w:start w:w="80" w:type="dxa"/>
              <w:bottom w:w="75" w:type="dxa"/>
              <w:end w:w="80" w:type="dxa"/>
            </w:tcMar>
            <w:vAlign w:val="top"/>
          </w:tcPr>
          <w:p>
            <w:pPr>
              <w:spacing w:after="0"/>
            </w:pPr>
            <w:r>
              <w:rPr>
                <w:rFonts w:ascii="Arial" w:hAnsi="Arial"/>
                <w:b/>
                <w:sz w:val="16"/>
              </w:rPr>
              <w:t>GARCH(1,1)</w:t>
            </w:r>
          </w:p>
        </w:tc>
        <w:tc>
          <w:tcPr>
            <w:tcW w:type="dxa" w:w="6520"/>
            <w:tcMar>
              <w:top w:w="75" w:type="dxa"/>
              <w:start w:w="80" w:type="dxa"/>
              <w:bottom w:w="75" w:type="dxa"/>
              <w:end w:w="80" w:type="dxa"/>
            </w:tcMar>
            <w:vAlign w:val="top"/>
          </w:tcPr>
          <w:p>
            <w:pPr>
              <w:spacing w:after="0" w:before="0"/>
            </w:pPr>
            <w:r>
              <w:rPr>
                <w:rFonts w:ascii="Cambria Math" w:hAnsi="Cambria Math" w:eastAsia="Cambria Math" w:cs="Cambria Math"/>
                <w:sz w:val="19"/>
              </w:rPr>
              <w:t>σₜ² = ω + αεₜ₋₁² + βσₜ₋₁²</w:t>
            </w:r>
          </w:p>
        </w:tc>
      </w:tr>
      <w:tr>
        <w:tc>
          <w:tcPr>
            <w:tcW w:type="dxa" w:w="3231"/>
            <w:tcMar>
              <w:top w:w="75" w:type="dxa"/>
              <w:start w:w="80" w:type="dxa"/>
              <w:bottom w:w="75" w:type="dxa"/>
              <w:end w:w="80" w:type="dxa"/>
            </w:tcMar>
            <w:vAlign w:val="top"/>
          </w:tcPr>
          <w:p>
            <w:pPr>
              <w:spacing w:after="0"/>
            </w:pPr>
            <w:r>
              <w:rPr>
                <w:rFonts w:ascii="Arial" w:hAnsi="Arial"/>
                <w:b/>
                <w:sz w:val="16"/>
              </w:rPr>
              <w:t>Capacity</w:t>
            </w:r>
          </w:p>
        </w:tc>
        <w:tc>
          <w:tcPr>
            <w:tcW w:type="dxa" w:w="6520"/>
            <w:tcMar>
              <w:top w:w="75" w:type="dxa"/>
              <w:start w:w="80" w:type="dxa"/>
              <w:bottom w:w="75" w:type="dxa"/>
              <w:end w:w="80" w:type="dxa"/>
            </w:tcMar>
            <w:vAlign w:val="top"/>
          </w:tcPr>
          <w:p>
            <w:pPr>
              <w:spacing w:after="0"/>
            </w:pPr>
            <w:r>
              <w:rPr>
                <w:rFonts w:ascii="Arial" w:hAnsi="Arial"/>
                <w:b w:val="0"/>
                <w:sz w:val="16"/>
              </w:rPr>
              <w:t>maximum scalable size before costs/liquidity/risk erode net edge below an acceptable level</w:t>
            </w:r>
          </w:p>
        </w:tc>
      </w:tr>
    </w:tbl>
    <w:p>
      <w:pPr>
        <w:spacing w:after="0"/>
      </w:pPr>
    </w:p>
    <w:p>
      <w:pPr>
        <w:pStyle w:val="Heading2"/>
        <w:keepNext/>
        <w:spacing w:before="160" w:after="100"/>
      </w:pPr>
      <w:r>
        <w:rPr>
          <w:rFonts w:ascii="Arial" w:hAnsi="Arial"/>
          <w:b/>
          <w:sz w:val="25"/>
        </w:rPr>
        <w:t>7.7 Final rule</w:t>
      </w:r>
    </w:p>
    <w:tbl>
      <w:tblPr>
        <w:tblW w:type="auto" w:w="0"/>
        <w:jc w:val="center"/>
        <w:tblLayout w:type="autofit"/>
        <w:tblLook w:firstColumn="1" w:firstRow="1" w:lastColumn="0" w:lastRow="0" w:noHBand="0" w:noVBand="1" w:val="04A0"/>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Pr>
      <w:tblGrid>
        <w:gridCol w:w="10036"/>
      </w:tblGrid>
      <w:tr>
        <w:tc>
          <w:tcPr>
            <w:tcW w:type="dxa" w:w="10036"/>
            <w:shd w:fill="F2F2F2"/>
            <w:tcMar>
              <w:top w:w="110" w:type="dxa"/>
              <w:start w:w="140" w:type="dxa"/>
              <w:bottom w:w="110" w:type="dxa"/>
              <w:end w:w="140" w:type="dxa"/>
            </w:tcMar>
          </w:tcPr>
          <w:p>
            <w:pPr>
              <w:spacing w:after="40"/>
            </w:pPr>
            <w:r>
              <w:rPr>
                <w:rFonts w:ascii="Arial" w:hAnsi="Arial"/>
                <w:b/>
                <w:sz w:val="19"/>
              </w:rPr>
              <w:t>INTERVIEW RULE</w:t>
            </w:r>
          </w:p>
          <w:p>
            <w:pPr>
              <w:spacing w:after="0"/>
            </w:pPr>
            <w:r>
              <w:rPr>
                <w:rFonts w:ascii="Arial" w:hAnsi="Arial"/>
                <w:sz w:val="18"/>
              </w:rPr>
              <w:t>Use the hypothetical reconstructions to understand the mechanics, then replace assumptions with verified facts. It is better to say "I do not want to invent the exact horizon from memory" and explain the methodology precisely than to give a confident but false historical number.</w:t>
            </w:r>
          </w:p>
        </w:tc>
      </w:tr>
    </w:tbl>
    <w:p>
      <w:pPr>
        <w:spacing w:after="0"/>
      </w:pPr>
    </w:p>
    <w:p>
      <w:pPr>
        <w:pStyle w:val="Heading2"/>
        <w:keepNext/>
        <w:spacing w:before="160" w:after="100"/>
      </w:pPr>
      <w:r>
        <w:rPr>
          <w:rFonts w:ascii="Arial" w:hAnsi="Arial"/>
          <w:b/>
          <w:sz w:val="25"/>
        </w:rPr>
        <w:t>Source note</w:t>
      </w:r>
    </w:p>
    <w:p>
      <w:pPr>
        <w:keepNext w:val="0"/>
        <w:spacing w:after="100" w:line="252" w:lineRule="auto"/>
      </w:pPr>
      <w:r>
        <w:rPr>
          <w:rFonts w:ascii="Arial" w:hAnsi="Arial"/>
          <w:i/>
        </w:rPr>
        <w:t>This training document was built from the Markets and Quantitative Analytics interview-preparation handbook and the current Markets CV bullets, with additional hypothetical technical detail added for interview practice. Numerical examples are intentionally illustrative and should not be attributed to Barclays or any historical system without verification.</w:t>
      </w:r>
    </w:p>
    <w:sectPr w:rsidR="00FC693F" w:rsidRPr="0006063C" w:rsidSect="00034616">
      <w:headerReference w:type="default" r:id="rId9"/>
      <w:footerReference w:type="default" r:id="rId10"/>
      <w:pgSz w:w="11906" w:h="16838"/>
      <w:pgMar w:top="879" w:right="935" w:bottom="822"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45"/>
      <w:gridCol w:w="3345"/>
      <w:gridCol w:w="3345"/>
    </w:tblGrid>
    <w:tr>
      <w:tc>
        <w:tcPr>
          <w:tcW w:type="dxa" w:w="3345"/>
        </w:tcPr>
        <w:p>
          <w:r>
            <w:t>Interview preparation - technical reconstructions are illustrative unless verified</w:t>
          </w:r>
        </w:p>
      </w:tc>
      <w:tc>
        <w:tcPr>
          <w:tcW w:type="dxa" w:w="3345"/>
        </w:tcPr>
        <w:p>
          <w:r>
            <w:t>October 2026</w:t>
          </w:r>
        </w:p>
      </w:tc>
      <w:tc>
        <w:tcPr>
          <w:tcW w:type="dxa" w:w="3345"/>
        </w:tcPr>
        <w:p>
          <w:pPr>
            <w:jc w:val="right"/>
          </w:pPr>
          <w:r>
            <w:rPr>
              <w:rFonts w:ascii="Arial" w:hAnsi="Arial"/>
              <w:color w:val="595959"/>
              <w:sz w:val="14"/>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MARKETS / QUANTITATIVE ANALYTICS / AI - COMPLETE INTERVIEW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before="200" w:after="80"/>
    </w:pPr>
    <w:rPr>
      <w:rFonts w:ascii="Aptos Display" w:hAnsi="Aptos Display"/>
      <w:b/>
      <w:sz w:val="25"/>
    </w:rPr>
  </w:style>
  <w:style w:type="paragraph" w:customStyle="1" w:styleId="Answer">
    <w:name w:val="Answer"/>
    <w:pPr>
      <w:spacing w:after="120" w:line="259" w:lineRule="auto"/>
    </w:pPr>
    <w:rPr>
      <w:rFonts w:ascii="Aptos" w:hAnsi="Aptos"/>
      <w:sz w:val="21"/>
    </w:rPr>
  </w:style>
  <w:style w:type="paragraph" w:customStyle="1" w:styleId="Note">
    <w:name w:val="Note"/>
    <w:pPr>
      <w:spacing w:after="140"/>
      <w:ind w:left="288"/>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Markets Applied AI - Technical Interview Preparation</dc:title>
  <dc:subject>Hypothetical technical reconstructions for Markets interview preparation</dc:subject>
  <dc:creator>OpenAI</dc:creator>
  <cp:keywords>Markets, FX, RFQ, market making, quantitative analytics, interview</cp:keywords>
  <dc:description>generated by python-docx</dc:description>
  <cp:lastModifiedBy/>
  <cp:revision>1</cp:revision>
  <dcterms:created xsi:type="dcterms:W3CDTF">2013-12-23T23:15:00Z</dcterms:created>
  <dcterms:modified xsi:type="dcterms:W3CDTF">2013-12-23T23:15:00Z</dcterms:modified>
  <cp:category/>
</cp:coreProperties>
</file>