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11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Events, cards, AI job metadata, recipient records, gift intents, payment events, audit trail.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published only with at least one confirmed enabled cash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The QR encodes only the stable event URL, never a wallet identifier. Server policy reads the event time zone and permitted window on every request, so links and QR close together.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created → link_opened → guest_reported → host_confirmed; any nonfinal state → cancelled.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Route readiness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cash route required.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type="auto" w:w="0"/>
        <w:jc w:val="center"/>
        <w:tblLayout w:type="fixed"/>
        <w:tblLook w:firstColumn="1" w:firstRow="1" w:lastColumn="0" w:lastRow="0" w:noHBand="0" w:noVBand="1" w:val="04A0"/>
      </w:tblPr>
      <w:tblGrid>
        <w:gridCol w:w="1699"/>
        <w:gridCol w:w="6005"/>
        <w:gridCol w:w="2088"/>
      </w:tblGrid>
      <w:tr>
        <w:trPr>
          <w:cantSplit/>
          <w:tblHeader/>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Table</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Key columns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Index or invariant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users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id, verified_email, auth_provider_id, role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email where present.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owner_id, slug, kind, date, time_zone, opens_at, contributions_close_at, gifts_close_at,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Unique opaque slug; date/close rules server-derived; close dates locked after first card or gift intent; revocation overrides.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guest_sessions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token_hash, expires_at, rate_bucket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Never store bearer token in clear text.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cards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guest_session_id, note, style_json, art_asset_id, consent,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FK event and asset; created_at index.</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assets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storage_key, kind, moderation_state, width, height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key; delete scheduled after retention.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ai_jobs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session_id, kind, inputs_hash, status, asset_id, usage_json</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Unique request key; budget counter.</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recipient_accounts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provider, provider_account_id, onboarding_state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Provider IDs and readiness only; no bank numbers or identity documents.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gift_intents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event_id, card_id, amount_cents, fee_cents, route, selected_service, destination_id, destination_version, state, provider_ref</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Positive amount; one idempotency key; selected route belongs to event and current confirmed version.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payment_events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provider_event_id, intent_id, type, payload_digest, received_at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provider_event_id.</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audit_log</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actor_type, actor_id, entity_type, entity_id, action, 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Append only; access restricted.</w:t>
            </w:r>
          </w:p>
        </w:tc>
      </w:tr>
      <w:tr>
        <w:tc>
          <w:tcPr>
            <w:tcW w:type="dxa" w:w="1699"/>
          </w:tcPr>
          <w:p>
            <w:r>
              <w:t>music_catalog</w:t>
            </w:r>
          </w:p>
        </w:tc>
        <w:tc>
          <w:tcPr>
            <w:tcW w:type="dxa" w:w="6005"/>
          </w:tcPr>
          <w:p>
            <w:r>
              <w:t>id, provider, external_clip_id, title, region, grant_version, expires_at</w:t>
            </w:r>
          </w:p>
        </w:tc>
        <w:tc>
          <w:tcPr>
            <w:tcW w:type="dxa" w:w="2088"/>
          </w:tcPr>
          <w:p>
            <w:r>
              <w:t>Rights-backed only; cache license scope; no recorded audio blob.</w:t>
            </w:r>
          </w:p>
        </w:tc>
      </w:tr>
      <w:tr>
        <w:tc>
          <w:tcPr>
            <w:tcW w:type="dxa" w:w="1699"/>
          </w:tcPr>
          <w:p>
            <w:r>
              <w:t>card_music_selections</w:t>
            </w:r>
          </w:p>
        </w:tc>
        <w:tc>
          <w:tcPr>
            <w:tcW w:type="dxa" w:w="6005"/>
          </w:tcPr>
          <w:p>
            <w:r>
              <w:t>card_id, clip_id, grant_version, selected_at</w:t>
            </w:r>
          </w:p>
        </w:tc>
        <w:tc>
          <w:tcPr>
            <w:tcW w:type="dxa" w:w="2088"/>
          </w:tcPr>
          <w:p>
            <w:r>
              <w:t>Optional FK, separate from gift_intents; delete with card.</w:t>
            </w:r>
          </w:p>
        </w:tc>
      </w:tr>
      <w:tr>
        <w:tc>
          <w:tcPr>
            <w:tcW w:type="dxa" w:w="1699"/>
          </w:tcPr>
          <w:p>
            <w:r>
              <w:t>book_orders</w:t>
            </w:r>
          </w:p>
        </w:tc>
        <w:tc>
          <w:tcPr>
            <w:tcW w:type="dxa" w:w="6005"/>
          </w:tcPr>
          <w:p>
            <w:r>
              <w:t>id, event_id, snapshot_at, included_count, tier_price_cents, provider_purchase_id, status</w:t>
            </w:r>
          </w:p>
        </w:tc>
        <w:tc>
          <w:tcPr>
            <w:tcW w:type="dxa" w:w="2088"/>
          </w:tcPr>
          <w:p>
            <w:r>
              <w:t>Unique paid entitlement per event; server quote fixed at checkout; separate from gift ledger.</w:t>
            </w:r>
          </w:p>
        </w:tc>
      </w:tr>
      <w:tr>
        <w:tc>
          <w:tcPr>
            <w:tcW w:type="dxa" w:w="1699"/>
          </w:tcPr>
          <w:p>
            <w:r>
              <w:t>external_destinations</w:t>
            </w:r>
          </w:p>
        </w:tc>
        <w:tc>
          <w:tcPr>
            <w:tcW w:type="dxa" w:w="6005"/>
          </w:tcPr>
          <w:p>
            <w:r>
              <w:t>id, event_id, service, identifier, display_name, version, confirmed_at, active</w:t>
            </w:r>
          </w:p>
        </w:tc>
        <w:tc>
          <w:tcPr>
            <w:tcW w:type="dxa" w:w="2088"/>
          </w:tcPr>
          <w:p>
            <w:r>
              <w:t>At most one active version per (event, service), with multiple enabled services per event; encrypted at rest, host only edits, alert and audit on change. Keep version in gift intent.</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114–157 focused hours. The broader external pilot remains 126–192 hours, with 140–220 more for approved integrated gifts, or 266–412 combined. The external phase with music becomes 142–220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r>
        <w:t>Static deployment credentials and owner approval — ADR 0006</w:t>
      </w:r>
    </w:p>
    <w:p>
      <w:r>
        <w:t>Use three distinct account-owned API tokens, one per GitHub environment, with Specified Workers / Individual Workers Editor access only to digitalcardbox-app-dev, digitalcardbox-app-test or digitalcardbox-app respectively. Keep the account ID as a public environment variable and each token as the matching environment secret. No whole-account, domain-route, Pages, KV, R2, Containers or Workers CI policy is required. The owner installed these tokens and DEV/TEST deployment retries succeeded on 13 October 2026.</w:t>
      </w:r>
    </w:p>
    <w:p>
      <w:r>
        <w:t>One repository uses GitHub Actions: feature branches create DEV previews; develop updates stable TEST; release branches create TEST previews; master deploys PROD after the sole owner approves their own deployment. Required PR approving reviewers are zero; Build remains required. Disable the legacy Cloudflare Git-connected builds while keeping the existing production Worker running. This static workflow does not select a production backend or waive the private MVP release gates.</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