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Executive Summary</w:t>
      </w:r>
    </w:p>
    <w:p>
      <w:pPr/>
      <w:r>
        <w:t>Investor case and validation plan for a shareable gifting platform</w:t>
      </w:r>
    </w:p>
    <w:p>
      <w:pPr/>
      <w:r>
        <w:t xml:space="preserve">13 October 2026  |  United States pilot  |  Planning case</w:t>
      </w:r>
    </w:p>
    <w:p>
      <w:pPr/>
      <w:r>
        <w:t>Investment thesis. A gift is often sent through a payment app while the personal message, card and photos live somewhere else. This product gives a recipient one page to share by link or QR. Givers can write an editable note, create a card and optionally send money through a clearly labeled destination. Recipients keep a private CardVault and can purchase a polished event book after contributions close. The opportunity is to become a lightweight destination for cash gifts and meaningful messages across weddings and everyday occasions. Demand, pricing and distribution remain hypotheses to test in supervised pilots.</w:t>
      </w:r>
    </w:p>
    <w:p>
      <w:pPr>
        <w:pStyle w:val="Heading1"/>
      </w:pPr>
      <w:r>
        <w:t>October 2026 delivery alignment</w:t>
      </w:r>
    </w:p>
    <w:p>
      <w:r>
        <w:t xml:space="preserve">TheDigitalCardBox is the working name. A private external-wallet MVP is targeted for 31 October 2026, with 180 focused developer hours over three weeks. This release includes manual and AI-assisted editable cards, a host event link and QR, safe multi-service external gift handoff, and a private CardVault. Generated backgrounds, two supervised events, paid checkout and integrated gifts follow separate gates; the broader pilot remains 192–215 hours. The $500 development fee is indefinitely fixed.</w:t>
      </w:r>
    </w:p>
    <w:p>
      <w:pPr>
        <w:pStyle w:val="Heading1"/>
      </w:pPr>
      <w:r>
        <w:t>Problem and product</w:t>
      </w:r>
    </w:p>
    <w:p>
      <w:pPr/>
      <w:r>
        <w:t>A gift giver may be far away, unable to attend an event, or unsure which payment destination to use. Cash and paper cards add physical handling, while notes, photos and payment records often end up scattered across apps and drawers. The product brings the gift destination and the personal message into one shareable page.</w:t>
      </w:r>
    </w:p>
    <w:tbl>
      <w:tblPr>
        <w:tblStyle w:val="TableGrid"/>
        <w:tblW w:type="auto" w:w="0"/>
        <w:tblLayout w:type="fixed"/>
        <w:tblLook w:firstColumn="1" w:firstRow="1" w:lastColumn="0" w:lastRow="0" w:noHBand="0" w:noVBand="1" w:val="04A0"/>
      </w:tblPr>
      <w:tblGrid>
        <w:gridCol w:w="4910"/>
        <w:gridCol w:w="4910"/>
      </w:tblGrid>
      <w:tr>
        <w:tc>
          <w:tcPr>
            <w:tcW w:type="dxa" w:w="4910"/>
            <w:shd w:fill="243B4D"/>
          </w:tcPr>
          <w:p>
            <w:r>
              <w:rPr>
                <w:b/>
                <w:color w:val="FFFFFF"/>
                <w:sz w:val="16"/>
              </w:rPr>
              <w:t>Why it matters</w:t>
            </w:r>
          </w:p>
        </w:tc>
        <w:tc>
          <w:tcPr>
            <w:tcW w:type="dxa" w:w="4910"/>
            <w:shd w:fill="243B4D"/>
          </w:tcPr>
          <w:p>
            <w:r>
              <w:rPr>
                <w:b/>
                <w:color w:val="FFFFFF"/>
                <w:sz w:val="16"/>
              </w:rPr>
              <w:t>Product benefit</w:t>
            </w:r>
          </w:p>
        </w:tc>
      </w:tr>
      <w:tr>
        <w:tc>
          <w:tcPr>
            <w:tcW w:type="dxa" w:w="4910"/>
          </w:tcPr>
          <w:p>
            <w:pPr>
              <w:spacing w:after="20"/>
            </w:pPr>
            <w:r>
              <w:rPr>
                <w:sz w:val="16"/>
              </w:rPr>
              <w:t>Convenience</w:t>
            </w:r>
          </w:p>
        </w:tc>
        <w:tc>
          <w:tcPr>
            <w:tcW w:type="dxa" w:w="4910"/>
          </w:tcPr>
          <w:p>
            <w:pPr>
              <w:spacing w:after="20"/>
            </w:pPr>
            <w:r>
              <w:rPr>
                <w:sz w:val="16"/>
              </w:rPr>
              <w:t>A link reaches remote givers by text or email; a QR serves in-person guests. They can write a card and find the gift destination in one place.</w:t>
            </w:r>
          </w:p>
        </w:tc>
      </w:tr>
      <w:tr>
        <w:tc>
          <w:tcPr>
            <w:tcW w:type="dxa" w:w="4910"/>
            <w:shd w:fill="F1F4F6"/>
          </w:tcPr>
          <w:p>
            <w:pPr>
              <w:spacing w:after="20"/>
            </w:pPr>
            <w:r>
              <w:rPr>
                <w:sz w:val="16"/>
              </w:rPr>
              <w:t>Less physical cash handling</w:t>
            </w:r>
          </w:p>
        </w:tc>
        <w:tc>
          <w:tcPr>
            <w:tcW w:type="dxa" w:w="4910"/>
            <w:shd w:fill="F1F4F6"/>
          </w:tcPr>
          <w:p>
            <w:pPr>
              <w:spacing w:after="20"/>
            </w:pPr>
            <w:r>
              <w:rPr>
                <w:sz w:val="16"/>
              </w:rPr>
              <w:t>Givers do not need to carry or mail a large amount of cash. Provider-hosted payment and payout forms reduce exposure to credentials when integrated checkout is approved.</w:t>
            </w:r>
          </w:p>
        </w:tc>
      </w:tr>
      <w:tr>
        <w:tc>
          <w:tcPr>
            <w:tcW w:type="dxa" w:w="4910"/>
          </w:tcPr>
          <w:p>
            <w:pPr>
              <w:spacing w:after="20"/>
            </w:pPr>
            <w:r>
              <w:rPr>
                <w:sz w:val="16"/>
              </w:rPr>
              <w:t>Memories that stay accessible</w:t>
            </w:r>
          </w:p>
        </w:tc>
        <w:tc>
          <w:tcPr>
            <w:tcW w:type="dxa" w:w="4910"/>
          </w:tcPr>
          <w:p>
            <w:pPr>
              <w:spacing w:after="20"/>
            </w:pPr>
            <w:r>
              <w:rPr>
                <w:sz w:val="16"/>
              </w:rPr>
              <w:t>A private book collects consented notes and photos so recipients can revisit or export them later, instead of leaving paper cards forgotten in a drawer or closet.</w:t>
            </w:r>
          </w:p>
        </w:tc>
      </w:tr>
    </w:tbl>
    <w:p>
      <w:pPr/>
      <w:r>
        <w:t>A recipient creates a dated event or time-limited one-off occasion page, may enable Cash App, Venmo and Zelle together, enters each destination twice, checks and confirms each one before sharing the link or QR. A giver chooses a host-enabled service, then sees its host name and full identifier before leaving and checks the recipient again in the payment app. The app cannot verify an external transfer; the host checks their account. Notes and cards stay available within the event window, wedding gifts remain open through month 12, and the host retains private CardVault access after closure. Guided AI can suggest editable drafts and artwork; commercial music requires rights clearance. Destination errors, account takeovers and support claims are risks to test, not guarantees eliminated by a disclaimer.</w:t>
      </w:r>
    </w:p>
    <w:p>
      <w:pPr>
        <w:pStyle w:val="Heading1"/>
      </w:pPr>
      <w:r>
        <w:t>Initial customer and distribution</w:t>
      </w:r>
    </w:p>
    <w:p>
      <w:pPr/>
      <w:r>
        <w:t>Start with wedding and celebration hosts, then test one-off birthday, graduation and housewarming pages. The first distribution loop is host-to-guest: a recipient shares one link in existing messages or prints it for an event; each giver encounters the product while writing a note. Venues and planners may amplify that loop if referrals are measurable. We do not assume a market size or viral conversion rate without pilot evidence. Track page creation, shared-link opens versus QR scans, completed notes, premium purchases, gifts initiated, host revisits and referred hosts.</w:t>
      </w:r>
    </w:p>
    <w:p>
      <w:pPr>
        <w:pStyle w:val="Heading1"/>
        <w:pageBreakBefore/>
      </w:pPr>
      <w:r>
        <w:t>Business model and unit economics</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72"/>
            <w:shd w:fill="243B4D"/>
          </w:tcPr>
          <w:p>
            <w:pPr>
              <w:spacing w:after="20"/>
            </w:pPr>
            <w:r>
              <w:rPr>
                <w:b/>
                <w:color w:val="FFFFFF"/>
                <w:sz w:val="16"/>
              </w:rPr>
              <w:t>Revenue line</w:t>
            </w:r>
          </w:p>
        </w:tc>
        <w:tc>
          <w:tcPr>
            <w:tcW w:type="dxa" w:w="4579"/>
            <w:shd w:fill="243B4D"/>
          </w:tcPr>
          <w:p>
            <w:pPr>
              <w:spacing w:after="20"/>
            </w:pPr>
            <w:r>
              <w:rPr>
                <w:b/>
                <w:color w:val="FFFFFF"/>
                <w:sz w:val="16"/>
              </w:rPr>
              <w:t>Proposed price and logic</w:t>
            </w:r>
          </w:p>
        </w:tc>
        <w:tc>
          <w:tcPr>
            <w:tcW w:type="dxa" w:w="3341"/>
            <w:shd w:fill="243B4D"/>
          </w:tcPr>
          <w:p>
            <w:pPr>
              <w:spacing w:after="20"/>
            </w:pPr>
            <w:r>
              <w:rPr>
                <w:b/>
                <w:color w:val="FFFFFF"/>
                <w:sz w:val="16"/>
              </w:rPr>
              <w:t>Constraint</w:t>
            </w:r>
          </w:p>
        </w:tc>
      </w:tr>
      <w:tr>
        <w:tc>
          <w:tcPr>
            <w:tcW w:type="dxa" w:w="1872"/>
            <w:vAlign w:val="center"/>
          </w:tcPr>
          <w:p>
            <w:pPr>
              <w:spacing w:after="20"/>
            </w:pPr>
            <w:r>
              <w:rPr>
                <w:b/>
                <w:sz w:val="16"/>
              </w:rPr>
              <w:t>Basic page, note and card</w:t>
            </w:r>
          </w:p>
        </w:tc>
        <w:tc>
          <w:tcPr>
            <w:tcW w:type="dxa" w:w="4579"/>
            <w:vAlign w:val="center"/>
          </w:tcPr>
          <w:p>
            <w:pPr>
              <w:spacing w:after="20"/>
            </w:pPr>
            <w:r>
              <w:rPr>
                <w:sz w:val="16"/>
              </w:rPr>
              <w:t>$0 at launch to remove friction and build the event book.</w:t>
            </w:r>
          </w:p>
        </w:tc>
        <w:tc>
          <w:tcPr>
            <w:tcW w:type="dxa" w:w="3341"/>
            <w:vAlign w:val="center"/>
          </w:tcPr>
          <w:p>
            <w:pPr>
              <w:spacing w:after="20"/>
            </w:pPr>
            <w:r>
              <w:rPr>
                <w:sz w:val="16"/>
              </w:rPr>
              <w:t>The platform funds AI, media and support costs.</w:t>
            </w:r>
          </w:p>
        </w:tc>
      </w:tr>
      <w:tr>
        <w:tc>
          <w:tcPr>
            <w:tcW w:type="dxa" w:w="1872"/>
            <w:vAlign w:val="center"/>
            <w:shd w:fill="F1F4F6"/>
          </w:tcPr>
          <w:p>
            <w:pPr>
              <w:spacing w:after="20"/>
            </w:pPr>
            <w:r>
              <w:rPr>
                <w:b/>
                <w:sz w:val="16"/>
              </w:rPr>
              <w:t>Premium card</w:t>
            </w:r>
          </w:p>
        </w:tc>
        <w:tc>
          <w:tcPr>
            <w:tcW w:type="dxa" w:w="4579"/>
            <w:vAlign w:val="center"/>
            <w:shd w:fill="F1F4F6"/>
          </w:tcPr>
          <w:p>
            <w:pPr>
              <w:spacing w:after="20"/>
            </w:pPr>
            <w:r>
              <w:rPr>
                <w:sz w:val="16"/>
              </w:rPr>
              <w:t>$4.99 optional one-time purchase for extra designs and export quality; proposed test price, not validated willingness to pay.</w:t>
            </w:r>
          </w:p>
        </w:tc>
        <w:tc>
          <w:tcPr>
            <w:tcW w:type="dxa" w:w="3341"/>
            <w:vAlign w:val="center"/>
            <w:shd w:fill="F1F4F6"/>
          </w:tcPr>
          <w:p>
            <w:pPr>
              <w:spacing w:after="20"/>
            </w:pPr>
            <w:r>
              <w:rPr>
                <w:sz w:val="16"/>
              </w:rPr>
              <w:t>At a 2.9% + $0.30 card fee and assumed extra art, incremental contribution is about $4.42 before shared free-card cost.</w:t>
            </w:r>
          </w:p>
        </w:tc>
      </w:tr>
      <w:tr>
        <w:tc>
          <w:tcPr>
            <w:tcW w:type="dxa" w:w="1872"/>
            <w:vAlign w:val="center"/>
          </w:tcPr>
          <w:p>
            <w:pPr>
              <w:spacing w:after="20"/>
            </w:pPr>
            <w:r>
              <w:rPr>
                <w:b/>
                <w:sz w:val="16"/>
              </w:rPr>
              <w:t>Premium event book</w:t>
            </w:r>
          </w:p>
        </w:tc>
        <w:tc>
          <w:tcPr>
            <w:tcW w:type="dxa" w:w="4579"/>
            <w:vAlign w:val="center"/>
          </w:tcPr>
          <w:p>
            <w:r>
              <w:t>$15 for 0–99 included entries, $30 for 100–299, $79 for 300+; one optional purchase after contributions close. No guest capacity is chosen at setup.</w:t>
            </w:r>
          </w:p>
        </w:tc>
        <w:tc>
          <w:tcPr>
            <w:tcW w:type="dxa" w:w="3341"/>
            <w:vAlign w:val="center"/>
          </w:tcPr>
          <w:p>
            <w:r>
              <w:t>Modeled contribution per sale is about $14.22, $28.78 or $76.36 after the planning card fee and export allowance. Conversion and size mix are unknown.</w:t>
            </w:r>
          </w:p>
        </w:tc>
      </w:tr>
      <w:tr>
        <w:tc>
          <w:tcPr>
            <w:tcW w:type="dxa" w:w="1872"/>
            <w:vAlign w:val="center"/>
            <w:shd w:fill="F1F4F6"/>
          </w:tcPr>
          <w:p>
            <w:pPr>
              <w:spacing w:after="20"/>
            </w:pPr>
            <w:r>
              <w:rPr>
                <w:b/>
                <w:sz w:val="16"/>
              </w:rPr>
              <w:t>Integrated gift fee</w:t>
            </w:r>
          </w:p>
        </w:tc>
        <w:tc>
          <w:tcPr>
            <w:tcW w:type="dxa" w:w="4579"/>
            <w:vAlign w:val="center"/>
            <w:shd w:fill="F1F4F6"/>
          </w:tcPr>
          <w:p>
            <w:pPr>
              <w:spacing w:after="20"/>
            </w:pPr>
            <w:r>
              <w:rPr>
                <w:sz w:val="16"/>
              </w:rPr>
              <w:t>Legacy 3%/$100 example only if the exact funds flow is approved.</w:t>
            </w:r>
          </w:p>
        </w:tc>
        <w:tc>
          <w:tcPr>
            <w:tcW w:type="dxa" w:w="3341"/>
            <w:vAlign w:val="center"/>
            <w:shd w:fill="F1F4F6"/>
          </w:tcPr>
          <w:p>
            <w:pPr>
              <w:spacing w:after="20"/>
            </w:pPr>
            <w:r>
              <w:rPr>
                <w:sz w:val="16"/>
              </w:rPr>
              <w:t>The illustrative 3.2% of $103 processing cost makes the fee lose $0.30 per gift. Do not scale it without new terms or pricing.</w:t>
            </w:r>
          </w:p>
        </w:tc>
      </w:tr>
    </w:tbl>
    <w:p/>
    <w:p>
      <w:pPr/>
      <w:r>
        <w:t>The detailed Financial Summary separately models free acquisition, paid-card conversion, book sales by event size mix, platform operating costs, startup capital and best/okay/worse scenarios. Gift principal is recipient money, never platform revenue. No popular-song royalties or integrated-checkout income is included in the base forecast before a signed agreement.</w:t>
      </w:r>
    </w:p>
    <w:p>
      <w:pPr>
        <w:pStyle w:val="Heading1"/>
      </w:pPr>
      <w:r>
        <w:t>Execution and capital</w:t>
      </w:r>
    </w:p>
    <w:p>
      <w:r>
        <w:t>Scenario evidence. The illustrative later operating model includes paid support: with 500 free cards and no sales, it loses about $717/month after assumed software, outreach and support. An okay month of 3,000 cards, 300 paid premium cards and 20 books at an assumed mix of 12 small, 7 medium and 1 large produces $1,966 revenue and about a $361 monthly loss after modeled costs. These are conversion and book-size assumptions, not a forecast or the bootstrapped pilot budget. Hosted premium card/book checkout is a separate 12–20-hour step after the free pilot and has no agreed cash price yet.</w:t>
      </w:r>
    </w:p>
    <w:p>
      <w:pPr/>
      <w:r>
        <w:t xml:space="preserve">The founder has a one-time, indefinitely fixed $500 development arrangement with the developer for this app, including planned later code phases. The October private MVP targets 180 focused hours over three weeks, with human time concentrated on authorization, payment routing, mobile accessibility and failure tests. The broader 192–215-hour, 6–8-week pilot includes supervised events and optional image work after October. Hours affect scheduling, not the fee. The bootstrapped three-month cash subtotal remains $3,171–$7,831, excluding founder pay, paid support, contingency and outside security/accessibility review. Integrated gifts add 140–220 hours, premium checkout 12–20, and licensed music 16–28 after rights clearance, with separate external charges requiring quotes.</w:t>
      </w:r>
    </w:p>
    <w:p>
      <w:pPr>
        <w:pStyle w:val="Heading1"/>
        <w:pageBreakBefore/>
      </w:pPr>
      <w:r>
        <w:t>SWOT analysis</w:t>
      </w:r>
    </w:p>
    <w:tbl>
      <w:tblPr>
        <w:tblStyle w:val="TableGrid"/>
        <w:tblW w:type="auto" w:w="0"/>
        <w:jc w:val="center"/>
        <w:tblLayout w:type="fixed"/>
        <w:tblLook w:firstColumn="1" w:firstRow="1" w:lastColumn="0" w:lastRow="0" w:noHBand="0" w:noVBand="1" w:val="04A0"/>
      </w:tblPr>
      <w:tblGrid>
        <w:gridCol w:w="4910"/>
        <w:gridCol w:w="4910"/>
      </w:tblGrid>
      <w:tr>
        <w:trPr>
          <w:tblHeader/>
        </w:trPr>
        <w:tc>
          <w:tcPr>
            <w:tcW w:type="dxa" w:w="1843"/>
            <w:shd w:fill="243B4D"/>
          </w:tcPr>
          <w:p>
            <w:pPr>
              <w:spacing w:after="0" w:before="0" w:line="240" w:lineRule="auto"/>
            </w:pPr>
            <w:r>
              <w:rPr>
                <w:b/>
                <w:color w:val="FFFFFF"/>
                <w:sz w:val="16"/>
              </w:rPr>
              <w:t>Area</w:t>
            </w:r>
          </w:p>
        </w:tc>
        <w:tc>
          <w:tcPr>
            <w:tcW w:type="dxa" w:w="7949"/>
            <w:shd w:fill="243B4D"/>
          </w:tcPr>
          <w:p>
            <w:pPr>
              <w:spacing w:after="0" w:before="0" w:line="240" w:lineRule="auto"/>
            </w:pPr>
            <w:r>
              <w:rPr>
                <w:b/>
                <w:color w:val="FFFFFF"/>
                <w:sz w:val="16"/>
              </w:rPr>
              <w:t>Investor interpretation</w:t>
            </w:r>
          </w:p>
        </w:tc>
      </w:tr>
      <w:tr>
        <w:tc>
          <w:tcPr>
            <w:tcW w:type="dxa" w:w="1843"/>
            <w:vAlign w:val="center"/>
          </w:tcPr>
          <w:p>
            <w:pPr>
              <w:spacing w:after="0" w:before="0" w:line="240" w:lineRule="auto"/>
            </w:pPr>
            <w:r>
              <w:rPr>
                <w:b/>
                <w:sz w:val="16"/>
              </w:rPr>
              <w:t>Strengths</w:t>
            </w:r>
          </w:p>
        </w:tc>
        <w:tc>
          <w:tcPr>
            <w:tcW w:type="dxa" w:w="7949"/>
            <w:vAlign w:val="center"/>
          </w:tcPr>
          <w:p>
            <w:pPr>
              <w:spacing w:before="0" w:after="0" w:line="240" w:lineRule="auto"/>
            </w:pPr>
            <w:r>
              <w:rPr>
                <w:sz w:val="16"/>
              </w:rPr>
              <w:t>One shareable link or QR joins a gift destination with editable messages and a keepsake. Remote guests need not carry cash; recipients can revisit consented notes and photos. No guest account or cash gift is required.</w:t>
            </w:r>
          </w:p>
        </w:tc>
      </w:tr>
      <w:tr>
        <w:tc>
          <w:tcPr>
            <w:tcW w:type="dxa" w:w="1843"/>
            <w:vAlign w:val="center"/>
            <w:shd w:fill="F1F4F6"/>
          </w:tcPr>
          <w:p>
            <w:pPr>
              <w:spacing w:after="0" w:before="0" w:line="240" w:lineRule="auto"/>
            </w:pPr>
            <w:r>
              <w:rPr>
                <w:b/>
                <w:sz w:val="16"/>
              </w:rPr>
              <w:t>Weaknesses</w:t>
            </w:r>
          </w:p>
        </w:tc>
        <w:tc>
          <w:tcPr>
            <w:tcW w:type="dxa" w:w="7949"/>
            <w:vAlign w:val="center"/>
            <w:shd w:fill="F1F4F6"/>
          </w:tcPr>
          <w:p>
            <w:r>
              <w:t>External transfers cannot be verified by the platform; hosts may provide wrong payment details. The pilot needs explicit payee review and host reconciliation, while paid conversion remains unproven.</w:t>
            </w:r>
          </w:p>
        </w:tc>
      </w:tr>
      <w:tr>
        <w:tc>
          <w:tcPr>
            <w:tcW w:type="dxa" w:w="1843"/>
            <w:vAlign w:val="center"/>
          </w:tcPr>
          <w:p>
            <w:pPr>
              <w:spacing w:after="0" w:before="0" w:line="240" w:lineRule="auto"/>
            </w:pPr>
            <w:r>
              <w:rPr>
                <w:b/>
                <w:sz w:val="16"/>
              </w:rPr>
              <w:t>Opportunities</w:t>
            </w:r>
          </w:p>
        </w:tc>
        <w:tc>
          <w:tcPr>
            <w:tcW w:type="dxa" w:w="7949"/>
            <w:vAlign w:val="center"/>
          </w:tcPr>
          <w:p>
            <w:pPr>
              <w:spacing w:after="0" w:before="0" w:line="240" w:lineRule="auto"/>
            </w:pPr>
            <w:r>
              <w:rPr>
                <w:sz w:val="16"/>
              </w:rPr>
              <w:t>Expand from events to everyday occasions, improve premium card and book conversion, test planner referrals and commissioned designs; licensed music may deepen expression if unit economics work.</w:t>
            </w:r>
          </w:p>
        </w:tc>
      </w:tr>
      <w:tr>
        <w:tc>
          <w:tcPr>
            <w:tcW w:type="dxa" w:w="1843"/>
            <w:vAlign w:val="center"/>
            <w:shd w:fill="F1F4F6"/>
          </w:tcPr>
          <w:p>
            <w:pPr>
              <w:spacing w:after="0" w:before="0" w:line="240" w:lineRule="auto"/>
            </w:pPr>
            <w:r>
              <w:rPr>
                <w:b/>
                <w:sz w:val="16"/>
              </w:rPr>
              <w:t>Threats</w:t>
            </w:r>
          </w:p>
        </w:tc>
        <w:tc>
          <w:tcPr>
            <w:tcW w:type="dxa" w:w="7949"/>
            <w:vAlign w:val="center"/>
            <w:shd w:fill="F1F4F6"/>
          </w:tcPr>
          <w:p>
            <w:pPr>
              <w:spacing w:after="0" w:before="0" w:line="240" w:lineRule="auto"/>
            </w:pPr>
            <w:r>
              <w:rPr>
                <w:sz w:val="16"/>
              </w:rPr>
              <w:t>Registry and cash-fund incumbents, provider underwriting and minimums, fraud and support costs, privacy incidents, and artwork/music rights restrictions can delay launch or erase thin gift-fee margin.</w:t>
            </w:r>
          </w:p>
        </w:tc>
      </w:tr>
    </w:tbl>
    <w:p/>
    <w:p>
      <w:pPr>
        <w:pStyle w:val="Heading1"/>
      </w:pPr>
      <w:r>
        <w:t>Proof required before expansion</w:t>
      </w:r>
    </w:p>
    <w:p>
      <w:pPr>
        <w:pStyle w:val="ListBullet"/>
        <w:spacing w:before="0" w:after="20" w:line="240" w:lineRule="auto"/>
      </w:pPr>
      <w:r>
        <w:t>Demand: 5–10 supervised occasions show that recipients share the link and givers complete cards without staff help; compare link and QR cohorts.</w:t>
      </w:r>
    </w:p>
    <w:p>
      <w:pPr>
        <w:pStyle w:val="ListBullet"/>
        <w:spacing w:before="0" w:after="20" w:line="240" w:lineRule="auto"/>
      </w:pPr>
      <w:r>
        <w:t>Monetization: measure paid-card conversion, event-book purchase, included-entry size mix, refund and support cost. Test the $4.99 card and $15/$30/$79 book tiers rather than treating scenario uptake as a forecast.</w:t>
      </w:r>
    </w:p>
    <w:p>
      <w:pPr>
        <w:pStyle w:val="ListBullet"/>
        <w:spacing w:before="0" w:after="20" w:line="240" w:lineRule="auto"/>
      </w:pPr>
      <w:r>
        <w:t>Payments: the external pilot requires one confirmed destination per enabled service, guest choice and exact selected-route review, protected per-service changes and no false paid claims. Measure mismatch reports. Any later integrated gift flow requires written approval for merchant, custody and payout roles plus daily reconciliation.</w:t>
      </w:r>
    </w:p>
    <w:p>
      <w:pPr>
        <w:pStyle w:val="ListBullet"/>
        <w:spacing w:before="0" w:after="20" w:line="240" w:lineRule="auto"/>
      </w:pPr>
      <w:r>
        <w:t>Creative rights: confirm commercial card-template grants and quote music playback, sharing, retention and export before release.</w:t>
      </w:r>
    </w:p>
    <w:p>
      <w:pPr>
        <w:pStyle w:val="Heading1"/>
      </w:pPr>
      <w:r>
        <w:t>Investment milestones</w:t>
      </w:r>
    </w:p>
    <w:tbl>
      <w:tblPr>
        <w:tblStyle w:val="TableGrid"/>
        <w:tblW w:type="auto" w:w="0"/>
        <w:tblLayout w:type="fixed"/>
        <w:tblLook w:firstColumn="1" w:firstRow="1" w:lastColumn="0" w:lastRow="0" w:noHBand="0" w:noVBand="1" w:val="04A0"/>
      </w:tblPr>
      <w:tblGrid>
        <w:gridCol w:w="3273"/>
        <w:gridCol w:w="3273"/>
        <w:gridCol w:w="3273"/>
      </w:tblGrid>
      <w:tr>
        <w:trPr>
          <w:cantSplit/>
        </w:trPr>
        <w:tc>
          <w:tcPr>
            <w:tcW w:type="dxa" w:w="3273"/>
            <w:shd w:fill="243B4D"/>
          </w:tcPr>
          <w:p>
            <w:pPr>
              <w:spacing w:before="0" w:after="0" w:line="240" w:lineRule="auto"/>
            </w:pPr>
            <w:r>
              <w:rPr>
                <w:b/>
                <w:color w:val="FFFFFF"/>
                <w:sz w:val="15"/>
              </w:rPr>
              <w:t>Stage</w:t>
            </w:r>
          </w:p>
        </w:tc>
        <w:tc>
          <w:tcPr>
            <w:tcW w:type="dxa" w:w="3273"/>
            <w:shd w:fill="243B4D"/>
          </w:tcPr>
          <w:p>
            <w:pPr>
              <w:spacing w:before="0" w:after="0" w:line="240" w:lineRule="auto"/>
            </w:pPr>
            <w:r>
              <w:rPr>
                <w:b/>
                <w:color w:val="FFFFFF"/>
                <w:sz w:val="15"/>
              </w:rPr>
              <w:t>Milestone</w:t>
            </w:r>
          </w:p>
        </w:tc>
        <w:tc>
          <w:tcPr>
            <w:tcW w:type="dxa" w:w="3273"/>
            <w:shd w:fill="243B4D"/>
          </w:tcPr>
          <w:p>
            <w:pPr>
              <w:spacing w:before="0" w:after="0" w:line="240" w:lineRule="auto"/>
            </w:pPr>
            <w:r>
              <w:rPr>
                <w:b/>
                <w:color w:val="FFFFFF"/>
                <w:sz w:val="15"/>
              </w:rPr>
              <w:t>Release decision</w:t>
            </w:r>
          </w:p>
        </w:tc>
      </w:tr>
      <w:tr>
        <w:trPr>
          <w:cantSplit/>
        </w:trPr>
        <w:tc>
          <w:tcPr>
            <w:tcW w:type="dxa" w:w="3273"/>
          </w:tcPr>
          <w:p>
            <w:pPr>
              <w:spacing w:after="0" w:before="0" w:line="240" w:lineRule="auto"/>
            </w:pPr>
            <w:r>
              <w:rPr>
                <w:sz w:val="15"/>
              </w:rPr>
              <w:t>Free pilot</w:t>
            </w:r>
          </w:p>
        </w:tc>
        <w:tc>
          <w:tcPr>
            <w:tcW w:type="dxa" w:w="3273"/>
          </w:tcPr>
          <w:p>
            <w:pPr>
              <w:spacing w:after="0" w:before="0" w:line="240" w:lineRule="auto"/>
            </w:pPr>
            <w:r>
              <w:rPr>
                <w:sz w:val="15"/>
              </w:rPr>
              <w:t>Recipients share links or QR; 5–10 supervised occasions; guests finish notes/cards.</w:t>
            </w:r>
          </w:p>
        </w:tc>
        <w:tc>
          <w:tcPr>
            <w:tcW w:type="dxa" w:w="3273"/>
          </w:tcPr>
          <w:p>
            <w:pPr>
              <w:spacing w:after="0" w:before="0" w:line="240" w:lineRule="auto"/>
            </w:pPr>
            <w:r>
              <w:rPr>
                <w:sz w:val="15"/>
              </w:rPr>
              <w:t>Measure activation, completion and support burden; avoid inferring payment completion from wallet handoff.</w:t>
            </w:r>
          </w:p>
        </w:tc>
      </w:tr>
      <w:tr>
        <w:trPr>
          <w:cantSplit/>
        </w:trPr>
        <w:tc>
          <w:tcPr>
            <w:tcW w:type="dxa" w:w="3273"/>
            <w:shd w:fill="F1F4F6"/>
          </w:tcPr>
          <w:p>
            <w:pPr>
              <w:spacing w:after="0" w:before="0" w:line="240" w:lineRule="auto"/>
            </w:pPr>
            <w:r>
              <w:rPr>
                <w:sz w:val="15"/>
              </w:rPr>
              <w:t>Paid test</w:t>
            </w:r>
          </w:p>
        </w:tc>
        <w:tc>
          <w:tcPr>
            <w:tcW w:type="dxa" w:w="3273"/>
            <w:shd w:fill="F1F4F6"/>
          </w:tcPr>
          <w:p>
            <w:pPr>
              <w:spacing w:before="0" w:after="0" w:line="240" w:lineRule="auto"/>
            </w:pPr>
            <w:r>
              <w:rPr>
                <w:sz w:val="15"/>
              </w:rPr>
              <w:t>Build hosted card/book checkout after the free pilot; test $4.99 cards and $15/$30/$79 books priced by included entries after day 90.</w:t>
            </w:r>
          </w:p>
        </w:tc>
        <w:tc>
          <w:tcPr>
            <w:tcW w:type="dxa" w:w="3273"/>
            <w:shd w:fill="F1F4F6"/>
          </w:tcPr>
          <w:p>
            <w:pPr>
              <w:spacing w:after="0" w:before="0" w:line="240" w:lineRule="auto"/>
            </w:pPr>
            <w:r>
              <w:rPr>
                <w:sz w:val="15"/>
              </w:rPr>
              <w:t>Scale acquisition only if contribution covers paid marketing and support at observed conversion.</w:t>
            </w:r>
          </w:p>
        </w:tc>
      </w:tr>
      <w:tr>
        <w:trPr>
          <w:cantSplit/>
        </w:trPr>
        <w:tc>
          <w:tcPr>
            <w:tcW w:type="dxa" w:w="3273"/>
          </w:tcPr>
          <w:p>
            <w:pPr>
              <w:spacing w:after="0" w:before="0" w:line="240" w:lineRule="auto"/>
            </w:pPr>
            <w:r>
              <w:rPr>
                <w:sz w:val="15"/>
              </w:rPr>
              <w:t>Cash integration</w:t>
            </w:r>
          </w:p>
        </w:tc>
        <w:tc>
          <w:tcPr>
            <w:tcW w:type="dxa" w:w="3273"/>
          </w:tcPr>
          <w:p>
            <w:pPr>
              <w:spacing w:before="0" w:after="0" w:line="240" w:lineRule="auto"/>
            </w:pPr>
            <w:r>
              <w:rPr>
                <w:sz w:val="15"/>
              </w:rPr>
              <w:t>Approve the exact funds flow; verify onboarding, webhooks, disputes and payouts.</w:t>
            </w:r>
          </w:p>
        </w:tc>
        <w:tc>
          <w:tcPr>
            <w:tcW w:type="dxa" w:w="3273"/>
          </w:tcPr>
          <w:p>
            <w:pPr>
              <w:spacing w:after="0" w:before="0" w:line="240" w:lineRule="auto"/>
            </w:pPr>
            <w:r>
              <w:rPr>
                <w:sz w:val="15"/>
              </w:rPr>
              <w:t>Reprice or reject the illustrative 3% fee if unit margin remains negative.</w:t>
            </w:r>
          </w:p>
        </w:tc>
      </w:tr>
      <w:tr>
        <w:trPr>
          <w:cantSplit/>
        </w:trPr>
        <w:tc>
          <w:tcPr>
            <w:tcW w:type="dxa" w:w="3273"/>
            <w:shd w:fill="F1F4F6"/>
          </w:tcPr>
          <w:p>
            <w:pPr>
              <w:spacing w:after="0" w:before="0" w:line="240" w:lineRule="auto"/>
            </w:pPr>
            <w:r>
              <w:rPr>
                <w:sz w:val="15"/>
              </w:rPr>
              <w:t>Music expansion</w:t>
            </w:r>
          </w:p>
        </w:tc>
        <w:tc>
          <w:tcPr>
            <w:tcW w:type="dxa" w:w="3273"/>
            <w:shd w:fill="F1F4F6"/>
          </w:tcPr>
          <w:p>
            <w:pPr>
              <w:spacing w:before="0" w:after="0" w:line="240" w:lineRule="auto"/>
            </w:pPr>
            <w:r>
              <w:rPr>
                <w:sz w:val="15"/>
              </w:rPr>
              <w:t>Get written rights for playback and sharing, plus a vendor quote.</w:t>
            </w:r>
          </w:p>
        </w:tc>
        <w:tc>
          <w:tcPr>
            <w:tcW w:type="dxa" w:w="3273"/>
            <w:shd w:fill="F1F4F6"/>
          </w:tcPr>
          <w:p>
            <w:pPr>
              <w:spacing w:before="0" w:after="0" w:line="240" w:lineRule="auto"/>
            </w:pPr>
            <w:r>
              <w:rPr>
                <w:sz w:val="15"/>
              </w:rPr>
              <w:t>Enable clips only if value and royalty costs support margin.</w:t>
            </w:r>
          </w:p>
        </w:tc>
      </w:tr>
    </w:tbl>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