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TheDigitalCardBox MVP Timeline</w:t>
      </w:r>
    </w:p>
    <w:p>
      <w:r>
        <w:t xml:space="preserve">Event and one-off occasion pages shared by link or QR with optional cash gifting  |  Planning date 13 October 2026</w:t>
      </w:r>
    </w:p>
    <w:p>
      <w:r>
        <w:t xml:space="preserve">Planning date: 13 October 2026. TheDigitalCardBox targets a private, working external-wallet MVP by 31 October 2026. One experienced React developer uses AI to draft code but reviews and tests every security and payment-boundary change. The October scope is 180 focused engineering hours over three weeks (about 60 hours per week on average, with 72 scheduled in the first week); the dated issue backlog totals 156 hours near the upper end. This is a demanding target, not a guarantee. The one-time development fee is indefinitely fixed at $500 and does not rise with hours or later planned code work. The broader external pilot, including supervised events and optional image generation, remains 192–215 hours over roughly 6–8 calendar weeks. Later premium checkout, integrated payments and licensed music are separate gates.</w:t>
      </w:r>
    </w:p>
    <w:p>
      <w:pPr>
        <w:pStyle w:val="Heading1"/>
      </w:pPr>
      <w:r>
        <w:t>Critical path and choice</w:t>
      </w:r>
    </w:p>
    <w:p>
      <w:r>
        <w:t>The October 31 private MVP uses external payment-service handoff and does not process cash gifts. Guests create a manual card or note, may choose an editable AI-assisted draft and card layout, and can choose among the host-confirmed Cash App, Venmo or Zelle routes. The October release must include real host authentication, server-enforced event windows, private CardVault access, a shareable link and QR, and tests for destination changes and false payment claims. Generative artwork and two supervised events may continue into the broader pilot after October. Integrated gift checkout needs written provider approval.</w:t>
      </w:r>
    </w:p>
    <w:tbl>
      <w:tblPr>
        <w:tblW w:w="0" w:type="auto"/>
        <w:tblBorders>
          <w:top w:val="single" w:sz="4"/>
          <w:bottom w:val="single" w:sz="4"/>
          <w:insideH w:val="single" w:sz="4"/>
        </w:tblBorders>
      </w:tblPr>
      <w:tr>
        <w:trPr>
          <w:tblHeader/>
        </w:trPr>
        <w:tc>
          <w:tcPr>
            <w:tcW w:w="0" w:type="auto"/>
          </w:tcPr>
          <w:p>
            <w:r>
              <w:t xml:space="preserve">Window</w:t>
            </w:r>
          </w:p>
        </w:tc>
        <w:tc>
          <w:tcPr>
            <w:tcW w:w="0" w:type="auto"/>
          </w:tcPr>
          <w:p>
            <w:r>
              <w:t xml:space="preserve">Build and learn</w:t>
            </w:r>
          </w:p>
        </w:tc>
        <w:tc>
          <w:tcPr>
            <w:tcW w:w="0" w:type="auto"/>
          </w:tcPr>
          <w:p>
            <w:r>
              <w:t xml:space="preserve">Focused hours</w:t>
            </w:r>
          </w:p>
        </w:tc>
        <w:tc>
          <w:tcPr>
            <w:tcW w:w="0" w:type="auto"/>
          </w:tcPr>
          <w:p>
            <w:r>
              <w:t xml:space="preserve">Exit condition</w:t>
            </w:r>
          </w:p>
        </w:tc>
      </w:tr>
      <w:tr>
        <w:tc>
          <w:tcPr>
            <w:tcW w:w="0" w:type="auto"/>
          </w:tcPr>
          <w:p>
            <w:r>
              <w:t xml:space="preserve">12–18 Oct</w:t>
            </w:r>
          </w:p>
        </w:tc>
        <w:tc>
          <w:tcPr>
            <w:tcW w:w="0" w:type="auto"/>
          </w:tcPr>
          <w:p>
            <w:r>
              <w:t xml:space="preserve">PostgreSQL/runtime spike, migrations, 23-table schema and transaction/outbox foundations before host/event/link work.</w:t>
            </w:r>
          </w:p>
        </w:tc>
        <w:tc>
          <w:tcPr>
            <w:tcW w:w="0" w:type="auto"/>
          </w:tcPr>
          <w:p>
            <w:r>
              <w:t xml:space="preserve">72</w:t>
            </w:r>
          </w:p>
        </w:tc>
        <w:tc>
          <w:tcPr>
            <w:tcW w:w="0" w:type="auto"/>
          </w:tcPr>
          <w:p>
            <w:r>
              <w:t xml:space="preserve">Capacity review; persistence and actual runtime access checks pass.</w:t>
            </w:r>
          </w:p>
        </w:tc>
      </w:tr>
      <w:tr>
        <w:tc>
          <w:tcPr>
            <w:tcW w:w="0" w:type="auto"/>
          </w:tcPr>
          <w:p>
            <w:r>
              <w:t xml:space="preserve">19–25 Oct</w:t>
            </w:r>
          </w:p>
        </w:tc>
        <w:tc>
          <w:tcPr>
            <w:tcW w:w="0" w:type="auto"/>
          </w:tcPr>
          <w:p>
            <w:r>
              <w:t xml:space="preserve">Manual content/photo/consent, bounded AI and private host/book work.</w:t>
            </w:r>
          </w:p>
        </w:tc>
        <w:tc>
          <w:tcPr>
            <w:tcW w:w="0" w:type="auto"/>
          </w:tcPr>
          <w:p>
            <w:r>
              <w:t xml:space="preserve">54</w:t>
            </w:r>
          </w:p>
        </w:tc>
        <w:tc>
          <w:tcPr>
            <w:tcW w:w="0" w:type="auto"/>
          </w:tcPr>
          <w:p>
            <w:r>
              <w:t xml:space="preserve">Manual path works independently; private scope and consent pass.</w:t>
            </w:r>
          </w:p>
        </w:tc>
      </w:tr>
      <w:tr>
        <w:tc>
          <w:tcPr>
            <w:tcW w:w="0" w:type="auto"/>
          </w:tcPr>
          <w:p>
            <w:r>
              <w:t xml:space="preserve">26–31 Oct</w:t>
            </w:r>
          </w:p>
        </w:tc>
        <w:tc>
          <w:tcPr>
            <w:tcW w:w="0" w:type="auto"/>
          </w:tcPr>
          <w:p>
            <w:r>
              <w:t xml:space="preserve">External selected-route review/handoff, export, recovery and release regression.</w:t>
            </w:r>
          </w:p>
        </w:tc>
        <w:tc>
          <w:tcPr>
            <w:tcW w:w="0" w:type="auto"/>
          </w:tcPr>
          <w:p>
            <w:r>
              <w:t xml:space="preserve">54</w:t>
            </w:r>
          </w:p>
        </w:tc>
        <w:tc>
          <w:tcPr>
            <w:tcW w:w="0" w:type="auto"/>
          </w:tcPr>
          <w:p>
            <w:r>
              <w:t xml:space="preserve">Private release only if all acceptance gates pass.</w:t>
            </w:r>
          </w:p>
        </w:tc>
      </w:tr>
      <w:tr>
        <w:tc>
          <w:tcPr>
            <w:tcW w:w="0" w:type="auto"/>
          </w:tcPr>
          <w:p>
            <w:r>
              <w:t xml:space="preserve">Follow-on</w:t>
            </w:r>
          </w:p>
        </w:tc>
        <w:tc>
          <w:tcPr>
            <w:tcW w:w="0" w:type="auto"/>
          </w:tcPr>
          <w:p>
            <w:r>
              <w:t xml:space="preserve">Supervised occasions, optional art and fixes, separately scheduled.</w:t>
            </w:r>
          </w:p>
        </w:tc>
        <w:tc>
          <w:tcPr>
            <w:tcW w:w="0" w:type="auto"/>
          </w:tcPr>
          <w:p>
            <w:r>
              <w:t xml:space="preserve">12–35</w:t>
            </w:r>
          </w:p>
        </w:tc>
        <w:tc>
          <w:tcPr>
            <w:tcW w:w="0" w:type="auto"/>
          </w:tcPr>
          <w:p>
            <w:r>
              <w:t xml:space="preserve">Reestimate from actual pilot evidence.</w:t>
            </w:r>
          </w:p>
        </w:tc>
      </w:tr>
    </w:tbl>
    <w:p>
      <w:pPr>
        <w:pStyle w:val="Heading1"/>
        <w:pageBreakBefore/>
      </w:pPr>
      <w:r>
        <w:t>Minimum release scope</w:t>
      </w:r>
    </w:p>
    <w:tbl>
      <w:tblPr>
        <w:tblW w:type="auto" w:w="0"/>
        <w:jc w:val="center"/>
        <w:tblLayout w:type="fixed"/>
        <w:tblLook w:firstColumn="1" w:firstRow="1" w:lastColumn="0" w:lastRow="0" w:noHBand="0" w:noVBand="1" w:val="04A0"/>
      </w:tblPr>
      <w:tblGrid>
        <w:gridCol w:w="4752"/>
        <w:gridCol w:w="5040"/>
      </w:tblGrid>
      <w:tr>
        <w:trPr>
          <w:cantSplit/>
          <w:tblHeader/>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Required for external pilot</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Added before integrated payments</w:t>
            </w:r>
          </w:p>
        </w:tc>
      </w:tr>
      <w:tr>
        <w:trPr>
          <w:cantSplit/>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page, shared link/QR, note/photo intake, private dashboard and basic CardVault export; dated windows: open ≤6 months before, notes close day 90, wedding gift-only to month 12, then closed landing. Guided AI and editable templates.</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Recipient identity and bank onboarding; approved card and mobile wallet checkout; hosted payment fields.</w:t>
            </w:r>
          </w:p>
        </w:tc>
      </w:tr>
      <w:tr>
        <w:trPr>
          <w:cantSplit/>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One active host confirmed cash destination per enabled service (Cash App, Venmo or Zelle), with one or more services per event; guest chooses one; double entry, exact guest display, guest acknowledgement and supported service handoff. Changing one service requires fresh auth, alert and new version, pausing only that service; switching resets guest acknowledgement. External state is not provider verified.</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Payment ledger, webhook verification and idempotency, payout state, refunds, disputes and reconciliation.</w:t>
            </w:r>
          </w:p>
        </w:tc>
      </w:tr>
      <w:tr>
        <w:trPr>
          <w:cantSplit/>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Basic fraud and abuse limits on content and scans; privacy notice and consent.</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Risk limits and velocity rules, support runbook, fee disclosure and provider approved operating policies.</w:t>
            </w:r>
          </w:p>
        </w:tc>
      </w:tr>
    </w:tbl>
    <w:p>
      <w:pPr>
        <w:spacing w:after="0"/>
      </w:pPr>
    </w:p>
    <w:p>
      <w:pPr>
        <w:pStyle w:val="Heading1"/>
      </w:pPr>
      <w:r>
        <w:t>What waits until after pilots</w:t>
      </w:r>
    </w:p>
    <w:p>
      <w:r>
        <w:t>Native mobile apps, licensed music, generated image backgrounds, video hosting, a design marketplace, printed books, pooled payments, international transfers, broad birthday reminders and a relationship graph wait until after the October release. AI-assisted note choices and editable card layouts remain in the October scope. The full external pilot may test image generation after the release gate.</w:t>
      </w:r>
    </w:p>
    <w:p>
      <w:pPr>
        <w:pStyle w:val="Heading1"/>
      </w:pPr>
      <w:r>
        <w:t>Weekly delivery checklist</w:t>
      </w:r>
    </w:p>
    <w:tbl>
      <w:tblPr>
        <w:tblW w:w="0" w:type="auto"/>
        <w:tblBorders>
          <w:top w:val="single" w:sz="4"/>
          <w:bottom w:val="single" w:sz="4"/>
          <w:insideH w:val="single" w:sz="4"/>
        </w:tblBorders>
      </w:tblPr>
      <w:tr>
        <w:trPr>
          <w:tblHeader/>
        </w:trPr>
        <w:tc>
          <w:tcPr>
            <w:tcW w:w="0" w:type="auto"/>
          </w:tcPr>
          <w:p>
            <w:r>
              <w:t xml:space="preserve">Dates</w:t>
            </w:r>
          </w:p>
        </w:tc>
        <w:tc>
          <w:tcPr>
            <w:tcW w:w="0" w:type="auto"/>
          </w:tcPr>
          <w:p>
            <w:r>
              <w:t xml:space="preserve">Concrete output</w:t>
            </w:r>
          </w:p>
        </w:tc>
        <w:tc>
          <w:tcPr>
            <w:tcW w:w="0" w:type="auto"/>
          </w:tcPr>
          <w:p>
            <w:r>
              <w:t xml:space="preserve">Focused hours</w:t>
            </w:r>
          </w:p>
        </w:tc>
        <w:tc>
          <w:tcPr>
            <w:tcW w:w="0" w:type="auto"/>
          </w:tcPr>
          <w:p>
            <w:r>
              <w:t xml:space="preserve">Owner/dependency</w:t>
            </w:r>
          </w:p>
        </w:tc>
      </w:tr>
      <w:tr>
        <w:tc>
          <w:tcPr>
            <w:tcW w:w="0" w:type="auto"/>
          </w:tcPr>
          <w:p>
            <w:r>
              <w:t xml:space="preserve">12–14 Oct</w:t>
            </w:r>
          </w:p>
        </w:tc>
        <w:tc>
          <w:tcPr>
            <w:tcW w:w="0" w:type="auto"/>
          </w:tcPr>
          <w:p>
            <w:r>
              <w:t xml:space="preserve">Stack/PostgreSQL spike and demo prerequisites.</w:t>
            </w:r>
          </w:p>
        </w:tc>
        <w:tc>
          <w:tcPr>
            <w:tcW w:w="0" w:type="auto"/>
          </w:tcPr>
          <w:p>
            <w:r>
              <w:t xml:space="preserve">14</w:t>
            </w:r>
          </w:p>
        </w:tc>
        <w:tc>
          <w:tcPr>
            <w:tcW w:w="0" w:type="auto"/>
          </w:tcPr>
          <w:p>
            <w:r>
              <w:t xml:space="preserve">Developer; prerequisite story links in backlog.json</w:t>
            </w:r>
          </w:p>
        </w:tc>
      </w:tr>
      <w:tr>
        <w:tc>
          <w:tcPr>
            <w:tcW w:w="0" w:type="auto"/>
          </w:tcPr>
          <w:p>
            <w:r>
              <w:t xml:space="preserve">15–18 Oct</w:t>
            </w:r>
          </w:p>
        </w:tc>
        <w:tc>
          <w:tcPr>
            <w:tcW w:w="0" w:type="auto"/>
          </w:tcPr>
          <w:p>
            <w:r>
              <w:t xml:space="preserve">Constrained migrations and transaction/outbox foundation, host/event/link work.</w:t>
            </w:r>
          </w:p>
        </w:tc>
        <w:tc>
          <w:tcPr>
            <w:tcW w:w="0" w:type="auto"/>
          </w:tcPr>
          <w:p>
            <w:r>
              <w:t xml:space="preserve">58</w:t>
            </w:r>
          </w:p>
        </w:tc>
        <w:tc>
          <w:tcPr>
            <w:tcW w:w="0" w:type="auto"/>
          </w:tcPr>
          <w:p>
            <w:r>
              <w:t xml:space="preserve">Developer; prerequisite story links in backlog.json</w:t>
            </w:r>
          </w:p>
        </w:tc>
      </w:tr>
      <w:tr>
        <w:tc>
          <w:tcPr>
            <w:tcW w:w="0" w:type="auto"/>
          </w:tcPr>
          <w:p>
            <w:r>
              <w:t xml:space="preserve">19–22 Oct</w:t>
            </w:r>
          </w:p>
        </w:tc>
        <w:tc>
          <w:tcPr>
            <w:tcW w:w="0" w:type="auto"/>
          </w:tcPr>
          <w:p>
            <w:r>
              <w:t xml:space="preserve">Manual content, guided note choices and event boundaries.</w:t>
            </w:r>
          </w:p>
        </w:tc>
        <w:tc>
          <w:tcPr>
            <w:tcW w:w="0" w:type="auto"/>
          </w:tcPr>
          <w:p>
            <w:r>
              <w:t xml:space="preserve">21</w:t>
            </w:r>
          </w:p>
        </w:tc>
        <w:tc>
          <w:tcPr>
            <w:tcW w:w="0" w:type="auto"/>
          </w:tcPr>
          <w:p>
            <w:r>
              <w:t xml:space="preserve">Developer; prerequisite story links in backlog.json</w:t>
            </w:r>
          </w:p>
        </w:tc>
      </w:tr>
      <w:tr>
        <w:tc>
          <w:tcPr>
            <w:tcW w:w="0" w:type="auto"/>
          </w:tcPr>
          <w:p>
            <w:r>
              <w:t xml:space="preserve">23–25 Oct</w:t>
            </w:r>
          </w:p>
        </w:tc>
        <w:tc>
          <w:tcPr>
            <w:tcW w:w="0" w:type="auto"/>
          </w:tcPr>
          <w:p>
            <w:r>
              <w:t xml:space="preserve">Consent/photo/moderation, quotas/fallback and private host/book state.</w:t>
            </w:r>
          </w:p>
        </w:tc>
        <w:tc>
          <w:tcPr>
            <w:tcW w:w="0" w:type="auto"/>
          </w:tcPr>
          <w:p>
            <w:r>
              <w:t xml:space="preserve">33</w:t>
            </w:r>
          </w:p>
        </w:tc>
        <w:tc>
          <w:tcPr>
            <w:tcW w:w="0" w:type="auto"/>
          </w:tcPr>
          <w:p>
            <w:r>
              <w:t xml:space="preserve">Developer; prerequisite story links in backlog.json</w:t>
            </w:r>
          </w:p>
        </w:tc>
      </w:tr>
      <w:tr>
        <w:tc>
          <w:tcPr>
            <w:tcW w:w="0" w:type="auto"/>
          </w:tcPr>
          <w:p>
            <w:r>
              <w:t xml:space="preserve">26–29 Oct</w:t>
            </w:r>
          </w:p>
        </w:tc>
        <w:tc>
          <w:tcPr>
            <w:tcW w:w="0" w:type="auto"/>
          </w:tcPr>
          <w:p>
            <w:r>
              <w:t xml:space="preserve">Confirmed route setup, exact review, switch/stale-route rejection and alerts.</w:t>
            </w:r>
          </w:p>
        </w:tc>
        <w:tc>
          <w:tcPr>
            <w:tcW w:w="0" w:type="auto"/>
          </w:tcPr>
          <w:p>
            <w:r>
              <w:t xml:space="preserve">28</w:t>
            </w:r>
          </w:p>
        </w:tc>
        <w:tc>
          <w:tcPr>
            <w:tcW w:w="0" w:type="auto"/>
          </w:tcPr>
          <w:p>
            <w:r>
              <w:t xml:space="preserve">Developer; prerequisite story links in backlog.json</w:t>
            </w:r>
          </w:p>
        </w:tc>
      </w:tr>
      <w:tr>
        <w:tc>
          <w:tcPr>
            <w:tcW w:w="0" w:type="auto"/>
          </w:tcPr>
          <w:p>
            <w:r>
              <w:t xml:space="preserve">30–31 Oct</w:t>
            </w:r>
          </w:p>
        </w:tc>
        <w:tc>
          <w:tcPr>
            <w:tcW w:w="0" w:type="auto"/>
          </w:tcPr>
          <w:p>
            <w:r>
              <w:t xml:space="preserve">Receipt/closure/export, restore and complete release regression.</w:t>
            </w:r>
          </w:p>
        </w:tc>
        <w:tc>
          <w:tcPr>
            <w:tcW w:w="0" w:type="auto"/>
          </w:tcPr>
          <w:p>
            <w:r>
              <w:t xml:space="preserve">26</w:t>
            </w:r>
          </w:p>
        </w:tc>
        <w:tc>
          <w:tcPr>
            <w:tcW w:w="0" w:type="auto"/>
          </w:tcPr>
          <w:p>
            <w:r>
              <w:t xml:space="preserve">Developer; prerequisite story links in backlog.json</w:t>
            </w:r>
          </w:p>
        </w:tc>
      </w:tr>
    </w:tbl>
    <w:p>
      <w:pPr>
        <w:spacing w:after="0"/>
      </w:pPr>
    </w:p>
    <w:p>
      <w:pPr>
        <w:spacing w:after="0"/>
      </w:pPr>
    </w:p>
    <w:p>
      <w:pPr>
        <w:pStyle w:val="Heading1"/>
      </w:pPr>
      <w:r>
        <w:t>Engineering task estimates</w:t>
      </w:r>
    </w:p>
    <w:p>
      <w:r>
        <w:t xml:space="preserve">The October slice is 180 focused engineering hours across the three dated rows below. The remaining 12–35 hours of the 192–215-hour external pilot cover supervised events, image generation experiments and fixes after October. These are schedule estimates only; the $500 development fee stays fixed. External host availability, counsel and vendor waiting time are excluded.</w:t>
      </w:r>
    </w:p>
    <w:p>
      <w:pPr>
        <w:pStyle w:val="Heading1"/>
      </w:pPr>
      <w:r>
        <w:t>External payment pilot tasks</w:t>
      </w:r>
    </w:p>
    <w:tbl>
      <w:tblPr>
        <w:tblW w:w="0" w:type="auto"/>
        <w:tblBorders>
          <w:top w:val="single" w:sz="4"/>
          <w:bottom w:val="single" w:sz="4"/>
          <w:insideH w:val="single" w:sz="4"/>
        </w:tblBorders>
      </w:tblPr>
      <w:tr>
        <w:trPr>
          <w:tblHeader/>
        </w:trPr>
        <w:tc>
          <w:tcPr>
            <w:tcW w:w="0" w:type="auto"/>
          </w:tcPr>
          <w:p>
            <w:r>
              <w:t xml:space="preserve">Story grouping</w:t>
            </w:r>
          </w:p>
        </w:tc>
        <w:tc>
          <w:tcPr>
            <w:tcW w:w="0" w:type="auto"/>
          </w:tcPr>
          <w:p>
            <w:r>
              <w:t xml:space="preserve">Focused hours</w:t>
            </w:r>
          </w:p>
        </w:tc>
        <w:tc>
          <w:tcPr>
            <w:tcW w:w="0" w:type="auto"/>
          </w:tcPr>
          <w:p>
            <w:r>
              <w:t xml:space="preserve">Evidence/interpretation</w:t>
            </w:r>
          </w:p>
        </w:tc>
      </w:tr>
      <w:tr>
        <w:tc>
          <w:tcPr>
            <w:tcW w:w="0" w:type="auto"/>
          </w:tcPr>
          <w:p>
            <w:r>
              <w:t xml:space="preserve">DCB-E01 Disposable public prototype</w:t>
            </w:r>
          </w:p>
        </w:tc>
        <w:tc>
          <w:tcPr>
            <w:tcW w:w="0" w:type="auto"/>
          </w:tcPr>
          <w:p>
            <w:r>
              <w:t xml:space="preserve">12</w:t>
            </w:r>
          </w:p>
        </w:tc>
        <w:tc>
          <w:tcPr>
            <w:tcW w:w="0" w:type="auto"/>
          </w:tcPr>
          <w:p>
            <w:r>
              <w:t xml:space="preserve">Existing story acceptance; see planning/backlog.json</w:t>
            </w:r>
          </w:p>
        </w:tc>
      </w:tr>
      <w:tr>
        <w:tc>
          <w:tcPr>
            <w:tcW w:w="0" w:type="auto"/>
          </w:tcPr>
          <w:p>
            <w:r>
              <w:t xml:space="preserve">DCB-E02 Identity and access</w:t>
            </w:r>
          </w:p>
        </w:tc>
        <w:tc>
          <w:tcPr>
            <w:tcW w:w="0" w:type="auto"/>
          </w:tcPr>
          <w:p>
            <w:r>
              <w:t xml:space="preserve">22</w:t>
            </w:r>
          </w:p>
        </w:tc>
        <w:tc>
          <w:tcPr>
            <w:tcW w:w="0" w:type="auto"/>
          </w:tcPr>
          <w:p>
            <w:r>
              <w:t xml:space="preserve">Existing story acceptance; see planning/backlog.json</w:t>
            </w:r>
          </w:p>
        </w:tc>
      </w:tr>
      <w:tr>
        <w:tc>
          <w:tcPr>
            <w:tcW w:w="0" w:type="auto"/>
          </w:tcPr>
          <w:p>
            <w:r>
              <w:t xml:space="preserve">DCB-E03 Event pages, links and time windows</w:t>
            </w:r>
          </w:p>
        </w:tc>
        <w:tc>
          <w:tcPr>
            <w:tcW w:w="0" w:type="auto"/>
          </w:tcPr>
          <w:p>
            <w:r>
              <w:t xml:space="preserve">26</w:t>
            </w:r>
          </w:p>
        </w:tc>
        <w:tc>
          <w:tcPr>
            <w:tcW w:w="0" w:type="auto"/>
          </w:tcPr>
          <w:p>
            <w:r>
              <w:t xml:space="preserve">Existing story acceptance; see planning/backlog.json</w:t>
            </w:r>
          </w:p>
        </w:tc>
      </w:tr>
      <w:tr>
        <w:tc>
          <w:tcPr>
            <w:tcW w:w="0" w:type="auto"/>
          </w:tcPr>
          <w:p>
            <w:r>
              <w:t xml:space="preserve">DCB-E04 Manual notes, cards and photos</w:t>
            </w:r>
          </w:p>
        </w:tc>
        <w:tc>
          <w:tcPr>
            <w:tcW w:w="0" w:type="auto"/>
          </w:tcPr>
          <w:p>
            <w:r>
              <w:t xml:space="preserve">21</w:t>
            </w:r>
          </w:p>
        </w:tc>
        <w:tc>
          <w:tcPr>
            <w:tcW w:w="0" w:type="auto"/>
          </w:tcPr>
          <w:p>
            <w:r>
              <w:t xml:space="preserve">Existing story acceptance; see planning/backlog.json</w:t>
            </w:r>
          </w:p>
        </w:tc>
      </w:tr>
      <w:tr>
        <w:tc>
          <w:tcPr>
            <w:tcW w:w="0" w:type="auto"/>
          </w:tcPr>
          <w:p>
            <w:r>
              <w:t xml:space="preserve">DCB-E05 AI note and artwork assistance</w:t>
            </w:r>
          </w:p>
        </w:tc>
        <w:tc>
          <w:tcPr>
            <w:tcW w:w="0" w:type="auto"/>
          </w:tcPr>
          <w:p>
            <w:r>
              <w:t xml:space="preserve">13</w:t>
            </w:r>
          </w:p>
        </w:tc>
        <w:tc>
          <w:tcPr>
            <w:tcW w:w="0" w:type="auto"/>
          </w:tcPr>
          <w:p>
            <w:r>
              <w:t xml:space="preserve">Existing story acceptance; see planning/backlog.json</w:t>
            </w:r>
          </w:p>
        </w:tc>
      </w:tr>
      <w:tr>
        <w:tc>
          <w:tcPr>
            <w:tcW w:w="0" w:type="auto"/>
          </w:tcPr>
          <w:p>
            <w:r>
              <w:t xml:space="preserve">DCB-E06 External cash gifts with guest choice</w:t>
            </w:r>
          </w:p>
        </w:tc>
        <w:tc>
          <w:tcPr>
            <w:tcW w:w="0" w:type="auto"/>
          </w:tcPr>
          <w:p>
            <w:r>
              <w:t xml:space="preserve">29</w:t>
            </w:r>
          </w:p>
        </w:tc>
        <w:tc>
          <w:tcPr>
            <w:tcW w:w="0" w:type="auto"/>
          </w:tcPr>
          <w:p>
            <w:r>
              <w:t xml:space="preserve">Existing story acceptance; see planning/backlog.json</w:t>
            </w:r>
          </w:p>
        </w:tc>
      </w:tr>
      <w:tr>
        <w:tc>
          <w:tcPr>
            <w:tcW w:w="0" w:type="auto"/>
          </w:tcPr>
          <w:p>
            <w:r>
              <w:t xml:space="preserve">DCB-E07 Host dashboard, CardVault and event book</w:t>
            </w:r>
          </w:p>
        </w:tc>
        <w:tc>
          <w:tcPr>
            <w:tcW w:w="0" w:type="auto"/>
          </w:tcPr>
          <w:p>
            <w:r>
              <w:t xml:space="preserve">11</w:t>
            </w:r>
          </w:p>
        </w:tc>
        <w:tc>
          <w:tcPr>
            <w:tcW w:w="0" w:type="auto"/>
          </w:tcPr>
          <w:p>
            <w:r>
              <w:t xml:space="preserve">Existing story acceptance; see planning/backlog.json</w:t>
            </w:r>
          </w:p>
        </w:tc>
      </w:tr>
      <w:tr>
        <w:tc>
          <w:tcPr>
            <w:tcW w:w="0" w:type="auto"/>
          </w:tcPr>
          <w:p>
            <w:r>
              <w:t xml:space="preserve">DCB-E08 Security, privacy and reliability</w:t>
            </w:r>
          </w:p>
        </w:tc>
        <w:tc>
          <w:tcPr>
            <w:tcW w:w="0" w:type="auto"/>
          </w:tcPr>
          <w:p>
            <w:r>
              <w:t xml:space="preserve">16</w:t>
            </w:r>
          </w:p>
        </w:tc>
        <w:tc>
          <w:tcPr>
            <w:tcW w:w="0" w:type="auto"/>
          </w:tcPr>
          <w:p>
            <w:r>
              <w:t xml:space="preserve">Existing story acceptance; see planning/backlog.json</w:t>
            </w:r>
          </w:p>
        </w:tc>
      </w:tr>
      <w:tr>
        <w:tc>
          <w:tcPr>
            <w:tcW w:w="0" w:type="auto"/>
          </w:tcPr>
          <w:p>
            <w:r>
              <w:t xml:space="preserve">DCB-E09 Supervised pilot and learning</w:t>
            </w:r>
          </w:p>
        </w:tc>
        <w:tc>
          <w:tcPr>
            <w:tcW w:w="0" w:type="auto"/>
          </w:tcPr>
          <w:p>
            <w:r>
              <w:t xml:space="preserve">6</w:t>
            </w:r>
          </w:p>
        </w:tc>
        <w:tc>
          <w:tcPr>
            <w:tcW w:w="0" w:type="auto"/>
          </w:tcPr>
          <w:p>
            <w:r>
              <w:t xml:space="preserve">Existing story acceptance; see planning/backlog.json</w:t>
            </w:r>
          </w:p>
        </w:tc>
      </w:tr>
      <w:tr>
        <w:tc>
          <w:tcPr>
            <w:tcW w:w="0" w:type="auto"/>
          </w:tcPr>
          <w:p>
            <w:r>
              <w:t xml:space="preserve">DCB-E18 Database foundations and migrations</w:t>
            </w:r>
          </w:p>
        </w:tc>
        <w:tc>
          <w:tcPr>
            <w:tcW w:w="0" w:type="auto"/>
          </w:tcPr>
          <w:p>
            <w:r>
              <w:t xml:space="preserve">24</w:t>
            </w:r>
          </w:p>
        </w:tc>
        <w:tc>
          <w:tcPr>
            <w:tcW w:w="0" w:type="auto"/>
          </w:tcPr>
          <w:p>
            <w:r>
              <w:t xml:space="preserve">Existing story acceptance; see planning/backlog.json</w:t>
            </w:r>
          </w:p>
        </w:tc>
      </w:tr>
      <w:tr>
        <w:tc>
          <w:tcPr>
            <w:tcW w:w="0" w:type="auto"/>
          </w:tcPr>
          <w:p>
            <w:r>
              <w:t xml:space="preserve">October subtotal</w:t>
            </w:r>
          </w:p>
        </w:tc>
        <w:tc>
          <w:tcPr>
            <w:tcW w:w="0" w:type="auto"/>
          </w:tcPr>
          <w:p>
            <w:r>
              <w:t xml:space="preserve">180</w:t>
            </w:r>
          </w:p>
        </w:tc>
        <w:tc>
          <w:tcPr>
            <w:tcW w:w="0" w:type="auto"/>
          </w:tcPr>
          <w:p>
            <w:r>
              <w:t xml:space="preserve">54 October stories; conditional Oct 31 target</w:t>
            </w:r>
          </w:p>
        </w:tc>
      </w:tr>
      <w:tr>
        <w:tc>
          <w:tcPr>
            <w:tcW w:w="0" w:type="auto"/>
          </w:tcPr>
          <w:p>
            <w:r>
              <w:t xml:space="preserve">Separate follow-on pilot</w:t>
            </w:r>
          </w:p>
        </w:tc>
        <w:tc>
          <w:tcPr>
            <w:tcW w:w="0" w:type="auto"/>
          </w:tcPr>
          <w:p>
            <w:r>
              <w:t xml:space="preserve">12–35</w:t>
            </w:r>
          </w:p>
        </w:tc>
        <w:tc>
          <w:tcPr>
            <w:tcW w:w="0" w:type="auto"/>
          </w:tcPr>
          <w:p>
            <w:r>
              <w:t xml:space="preserve">Supervised occasions/art/fixes; provisional allowance</w:t>
            </w:r>
          </w:p>
        </w:tc>
      </w:tr>
      <w:tr>
        <w:tc>
          <w:tcPr>
            <w:tcW w:w="0" w:type="auto"/>
          </w:tcPr>
          <w:p>
            <w:r>
              <w:t xml:space="preserve">Broader pilot subtotal</w:t>
            </w:r>
          </w:p>
        </w:tc>
        <w:tc>
          <w:tcPr>
            <w:tcW w:w="0" w:type="auto"/>
          </w:tcPr>
          <w:p>
            <w:r>
              <w:t xml:space="preserve">192–215</w:t>
            </w:r>
          </w:p>
        </w:tc>
        <w:tc>
          <w:tcPr>
            <w:tcW w:w="0" w:type="auto"/>
          </w:tcPr>
          <w:p>
            <w:r>
              <w:t xml:space="preserve">Overlap/capacity reestimation required</w:t>
            </w:r>
          </w:p>
        </w:tc>
      </w:tr>
    </w:tbl>
    <w:p>
      <w:pPr>
        <w:spacing w:after="0"/>
      </w:pPr>
    </w:p>
    <w:p>
      <w:pPr>
        <w:pStyle w:val="Heading1"/>
      </w:pPr>
      <w:r>
        <w:t>Integrated payment tasks added afterward</w:t>
      </w:r>
    </w:p>
    <w:tbl>
      <w:tblPr>
        <w:tblW w:type="auto" w:w="0"/>
        <w:jc w:val="center"/>
        <w:tblLayout w:type="fixed"/>
        <w:tblLook w:firstColumn="1" w:firstRow="1" w:lastColumn="0" w:lastRow="0" w:noHBand="0" w:noVBand="1" w:val="04A0"/>
      </w:tblPr>
      <w:tblGrid>
        <w:gridCol w:w="3398"/>
        <w:gridCol w:w="979"/>
        <w:gridCol w:w="5414"/>
      </w:tblGrid>
      <w:tr>
        <w:trPr>
          <w:cantSplit/>
          <w:tblHeader/>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Engineering task</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Hours</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Done when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integration design</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8–12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Approved funds flow, state and fee mapping; approval wait excluded.</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Hosted recipient onboarding</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16–24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account, readiness and secure host handoff.</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Hosted checkout and fee disclosure</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18–28</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Session creation, amount checks, redirect and return.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Signed webhooks and gift ledger</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24–36</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Signature, deduplication and idempotent state.</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Refunds, disputes, payouts and reconciliation</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24–40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Exception queue, settlement and daily balances.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Risk limits and support operations</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12–20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Velocity rules, operator actions and incident playbook.</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Security regression and integrated pilot</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38–60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Attack checks, sandbox failures and live supervision.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 increment subtotal</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140–220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3.5–5.5 focused engineering weeks after provider approval.</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Both phases combined</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 xml:space="preserve">332–435</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8.3–10.9 focused weeks, spread across a gated calendar.</w:t>
            </w:r>
          </w:p>
        </w:tc>
      </w:tr>
    </w:tbl>
    <w:p>
      <w:pPr>
        <w:spacing w:after="0"/>
      </w:pPr>
    </w:p>
    <w:p>
      <w:pPr>
        <w:pStyle w:val="Heading1"/>
      </w:pPr>
      <w:r>
        <w:t>Effort and schedule assumptions</w:t>
      </w:r>
    </w:p>
    <w:p>
      <w:r>
        <w:t xml:space="preserve">The October private MVP is 180 focused hours, or about 60 hours per week on average, with 72 scheduled in the first week from 12–31 October. The full external pilot remains 192–215 hours after supervised validation and image experiments; later integrated payments add 140–220 hours only after written approval. AI shortens drafting but cannot replace human review of authorization, payment routing, lifecycle boundaries or accessibility. If a release gate fails, keep the private beta closed and move the date rather than remove those checks.</w:t>
      </w:r>
    </w:p>
    <w:p>
      <w:r>
        <w:t>The local starter is React and Vite because the developer already knows React. An early architecture decision selects either Next.js server routes or React with Cloudflare Functions for the production backend; the one-repo, orthogonal domain boundaries apply either way. A decision by 14 October keeps the 31 October target viable. The fixed $500 fee is independent of the chosen stack and future code phases.</w:t>
      </w:r>
    </w:p>
    <w:p>
      <w:pPr>
        <w:pStyle w:val="Heading1"/>
        <w:pageBreakBefore/>
      </w:pPr>
      <w:r>
        <w:t>Go or no go gates</w:t>
      </w:r>
    </w:p>
    <w:p>
      <w:pPr>
        <w:pStyle w:val="ListBullet"/>
      </w:pPr>
      <w:r>
        <w:t>Provider gate: written acceptance of the funds flow, fee structure, dispute allocation, recipient verification and payout timing before integrated live payments.</w:t>
      </w:r>
    </w:p>
    <w:p>
      <w:pPr>
        <w:pStyle w:val="ListBullet"/>
      </w:pPr>
      <w:r>
        <w:t>External money gate: no unresolved wrong-destination defect; at least one active host confirmed service, exact display for the guest-selected service, acknowledgment reset on switches, guest check inside provider, protected change process, and host marked receipt only. Later integrated money gate: signed provider events reconcile daily and unsettled funds never appear as available.</w:t>
      </w:r>
    </w:p>
    <w:p>
      <w:pPr>
        <w:pStyle w:val="ListBullet"/>
      </w:pPr>
      <w:r>
        <w:t>Experience gate: guests complete a message and a gift on their own phones; track separate conversion for external handoff and integrated checkout.</w:t>
      </w:r>
    </w:p>
    <w:p>
      <w:pPr>
        <w:pStyle w:val="ListBullet"/>
      </w:pPr>
      <w:r>
        <w:t>Economics gate: measure blended funding cost, minimum fee allocation, premium event uptake, support minutes and dispute losses; price from actual terms.</w:t>
      </w:r>
    </w:p>
    <w:p>
      <w:pPr>
        <w:pStyle w:val="ListBullet"/>
      </w:pPr>
      <w:r>
        <w:t>Growth gate: measure whether guests later become hosts and whether venues or planners refer additional events.</w:t>
      </w:r>
    </w:p>
    <w:p>
      <w:pPr>
        <w:pStyle w:val="Heading1"/>
      </w:pPr>
      <w:r>
        <w:t>Conditional artwork and licensed music workstream</w:t>
      </w:r>
    </w:p>
    <w:p>
      <w:pPr/>
      <w:r>
        <w:t xml:space="preserve">The October private MVP excludes generated image backgrounds and commercial music. The broader external-wallet pilot is 192–215 engineering hours over roughly 6–8 calendar weeks, including the October 180-hour slice and 12–35 hours of follow-on art exploration, supervised events and fixes. Licensed music adds 16–28 hours after rights clearance. Vendor work and waiting time are separate.</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2131"/>
            <w:shd w:fill="243B4D"/>
          </w:tcPr>
          <w:p>
            <w:pPr>
              <w:spacing w:after="20"/>
            </w:pPr>
            <w:r>
              <w:rPr>
                <w:b/>
                <w:color w:val="FFFFFF"/>
                <w:sz w:val="16"/>
              </w:rPr>
              <w:t>Decision or task</w:t>
            </w:r>
          </w:p>
        </w:tc>
        <w:tc>
          <w:tcPr>
            <w:tcW w:type="dxa" w:w="4579"/>
            <w:shd w:fill="243B4D"/>
          </w:tcPr>
          <w:p>
            <w:pPr>
              <w:spacing w:after="20"/>
            </w:pPr>
            <w:r>
              <w:rPr>
                <w:b/>
                <w:color w:val="FFFFFF"/>
                <w:sz w:val="16"/>
              </w:rPr>
              <w:t>Indicative cost / hours</w:t>
            </w:r>
          </w:p>
        </w:tc>
        <w:tc>
          <w:tcPr>
            <w:tcW w:type="dxa" w:w="3082"/>
            <w:shd w:fill="243B4D"/>
          </w:tcPr>
          <w:p>
            <w:pPr>
              <w:spacing w:after="20"/>
            </w:pPr>
            <w:r>
              <w:rPr>
                <w:b/>
                <w:color w:val="FFFFFF"/>
                <w:sz w:val="16"/>
              </w:rPr>
              <w:t>Release gate</w:t>
            </w:r>
          </w:p>
        </w:tc>
      </w:tr>
      <w:tr>
        <w:tc>
          <w:tcPr>
            <w:tcW w:type="dxa" w:w="2131"/>
            <w:vAlign w:val="center"/>
          </w:tcPr>
          <w:p>
            <w:pPr>
              <w:spacing w:after="20"/>
            </w:pPr>
            <w:r>
              <w:rPr>
                <w:b/>
                <w:sz w:val="16"/>
              </w:rPr>
              <w:t>Commission card artwork</w:t>
            </w:r>
          </w:p>
        </w:tc>
        <w:tc>
          <w:tcPr>
            <w:tcW w:type="dxa" w:w="4579"/>
            <w:vAlign w:val="center"/>
          </w:tcPr>
          <w:p>
            <w:pPr>
              <w:spacing w:after="20"/>
            </w:pPr>
            <w:r>
              <w:rPr>
                <w:sz w:val="16"/>
              </w:rPr>
              <w:t>99designs lists US$299–US$1,499 estimated per illustration brief, or a contest from US$349. Four commissions at the range imply US$1,196–US$5,996 before tax and revisions.</w:t>
            </w:r>
          </w:p>
        </w:tc>
        <w:tc>
          <w:tcPr>
            <w:tcW w:type="dxa" w:w="3082"/>
            <w:vAlign w:val="center"/>
          </w:tcPr>
          <w:p>
            <w:pPr>
              <w:spacing w:after="20"/>
            </w:pPr>
            <w:r>
              <w:rPr>
                <w:sz w:val="16"/>
              </w:rPr>
              <w:t>Request a written quote for reusable commercial card templates, derivatives, sublicensing and export rights.</w:t>
            </w:r>
          </w:p>
        </w:tc>
      </w:tr>
      <w:tr>
        <w:tc>
          <w:tcPr>
            <w:tcW w:type="dxa" w:w="2131"/>
            <w:vAlign w:val="center"/>
            <w:shd w:fill="F1F4F6"/>
          </w:tcPr>
          <w:p>
            <w:pPr>
              <w:spacing w:after="20"/>
            </w:pPr>
            <w:r>
              <w:rPr>
                <w:b/>
                <w:sz w:val="16"/>
              </w:rPr>
              <w:t>License stock artwork</w:t>
            </w:r>
          </w:p>
        </w:tc>
        <w:tc>
          <w:tcPr>
            <w:tcW w:type="dxa" w:w="4579"/>
            <w:vAlign w:val="center"/>
            <w:shd w:fill="F1F4F6"/>
          </w:tcPr>
          <w:p>
            <w:pPr>
              <w:spacing w:after="20"/>
            </w:pPr>
            <w:r>
              <w:rPr>
                <w:sz w:val="16"/>
              </w:rPr>
              <w:t>Adobe Stock lists US$29.99/month for 10 standard assets under an annual commitment, paid monthly.</w:t>
            </w:r>
          </w:p>
        </w:tc>
        <w:tc>
          <w:tcPr>
            <w:tcW w:type="dxa" w:w="3082"/>
            <w:vAlign w:val="center"/>
            <w:shd w:fill="F1F4F6"/>
          </w:tcPr>
          <w:p>
            <w:pPr>
              <w:spacing w:after="20"/>
            </w:pPr>
            <w:r>
              <w:rPr>
                <w:sz w:val="16"/>
              </w:rPr>
              <w:t>This is a sourcing price, not permission to use standard assets as card templates for resale; confirm an extended or enterprise grant first.</w:t>
            </w:r>
          </w:p>
        </w:tc>
      </w:tr>
      <w:tr>
        <w:tc>
          <w:tcPr>
            <w:tcW w:type="dxa" w:w="2131"/>
            <w:vAlign w:val="center"/>
          </w:tcPr>
          <w:p>
            <w:pPr>
              <w:spacing w:after="20"/>
            </w:pPr>
            <w:r>
              <w:rPr>
                <w:b/>
                <w:sz w:val="16"/>
              </w:rPr>
              <w:t>Source and approve art</w:t>
            </w:r>
          </w:p>
        </w:tc>
        <w:tc>
          <w:tcPr>
            <w:tcW w:type="dxa" w:w="4579"/>
            <w:vAlign w:val="center"/>
          </w:tcPr>
          <w:p>
            <w:pPr>
              <w:spacing w:after="20"/>
            </w:pPr>
            <w:r>
              <w:rPr>
                <w:sz w:val="16"/>
              </w:rPr>
              <w:t>8–16 product/design hours (nonengineering); artist turnaround and legal review excluded.</w:t>
            </w:r>
          </w:p>
        </w:tc>
        <w:tc>
          <w:tcPr>
            <w:tcW w:type="dxa" w:w="3082"/>
            <w:vAlign w:val="center"/>
          </w:tcPr>
          <w:p>
            <w:pPr>
              <w:spacing w:after="20"/>
            </w:pPr>
            <w:r>
              <w:rPr>
                <w:sz w:val="16"/>
              </w:rPr>
              <w:t>Review attribution, permissions, source files, accessibility and asset record before publishing.</w:t>
            </w:r>
          </w:p>
        </w:tc>
      </w:tr>
      <w:tr>
        <w:tc>
          <w:tcPr>
            <w:tcW w:type="dxa" w:w="2131"/>
            <w:vAlign w:val="center"/>
            <w:shd w:fill="F1F4F6"/>
          </w:tcPr>
          <w:p>
            <w:pPr>
              <w:spacing w:after="20"/>
            </w:pPr>
            <w:r>
              <w:rPr>
                <w:b/>
                <w:sz w:val="16"/>
              </w:rPr>
              <w:t>Add licensed song picker</w:t>
            </w:r>
          </w:p>
        </w:tc>
        <w:tc>
          <w:tcPr>
            <w:tcW w:type="dxa" w:w="4579"/>
            <w:vAlign w:val="center"/>
            <w:shd w:fill="F1F4F6"/>
          </w:tcPr>
          <w:p>
            <w:pPr>
              <w:spacing w:after="20"/>
            </w:pPr>
            <w:r>
              <w:rPr>
                <w:sz w:val="16"/>
              </w:rPr>
              <w:t>16–28 additional engineering hours after the external pilot; calendar timing depends on licensing approval.</w:t>
            </w:r>
          </w:p>
        </w:tc>
        <w:tc>
          <w:tcPr>
            <w:tcW w:type="dxa" w:w="3082"/>
            <w:vAlign w:val="center"/>
            <w:shd w:fill="F1F4F6"/>
          </w:tcPr>
          <w:p>
            <w:pPr>
              <w:spacing w:after="20"/>
            </w:pPr>
            <w:r>
              <w:rPr>
                <w:sz w:val="16"/>
              </w:rPr>
              <w:t>Implement catalog, rights checks, selection, playback, moderation and expiry fallback. No live copyrighted clips before agreement.</w:t>
            </w:r>
          </w:p>
        </w:tc>
      </w:tr>
      <w:tr>
        <w:tc>
          <w:tcPr>
            <w:tcW w:type="dxa" w:w="2131"/>
            <w:vAlign w:val="center"/>
          </w:tcPr>
          <w:p>
            <w:pPr>
              <w:spacing w:after="20"/>
            </w:pPr>
            <w:r>
              <w:rPr>
                <w:b/>
                <w:sz w:val="16"/>
              </w:rPr>
              <w:t>Music rights/vendor</w:t>
            </w:r>
          </w:p>
        </w:tc>
        <w:tc>
          <w:tcPr>
            <w:tcW w:type="dxa" w:w="4579"/>
            <w:vAlign w:val="center"/>
          </w:tcPr>
          <w:p>
            <w:pPr>
              <w:spacing w:after="20"/>
            </w:pPr>
            <w:r>
              <w:rPr>
                <w:sz w:val="16"/>
              </w:rPr>
              <w:t>Feed Clips advertises licensed in-app clips but publishes no card-specific price here; request monthly minimum, per-use charges and setup fees.</w:t>
            </w:r>
          </w:p>
        </w:tc>
        <w:tc>
          <w:tcPr>
            <w:tcW w:type="dxa" w:w="3082"/>
            <w:vAlign w:val="center"/>
          </w:tcPr>
          <w:p>
            <w:pPr>
              <w:spacing w:after="20"/>
            </w:pPr>
            <w:r>
              <w:rPr>
                <w:sz w:val="16"/>
              </w:rPr>
              <w:t>Written grant must include in-card and in-note playback, territory, sharing, retention, revocation and export if needed.</w:t>
            </w:r>
          </w:p>
        </w:tc>
      </w:tr>
    </w:tbl>
    <w:p/>
    <w:p>
      <w:pPr/>
      <w:r>
        <w:t xml:space="preserve">Licensed music is after the October MVP. If added to the full external pilot, allow 208–243 hours (192–215 plus 16–28). Art sourcing takes 8–16 separate design hours. A no-song, editable static card always works.</w:t>
      </w:r>
    </w:p>
    <w:p>
      <w:pPr>
        <w:keepLines/>
      </w:pPr>
      <w:r>
        <w:t>Rights-first acceptance: guests may choose “No song” or a licensed catalog clip; preview is user initiated and muted by default. Persist a catalog ID and rights version, not the raw recording. Suppress unavailable tracks. Event-book streaming and downloaded exports need separate coverage in the agreement; otherwise use text attribution only and omit playable audio from exports.</w:t>
      </w:r>
    </w:p>
    <w:p>
      <w:pPr/>
      <w:r>
        <w:t>Price and rights sources checked 28 September 2026: 99designs https://99designs.com/pricing/illustrations ; Adobe Stock https://stock.adobe.com/Plans and https://stock.adobe.com/license-terms ; Feed Clips https://www.feed.fm/clips ; U.S. Copyright Office https://www.copyright.gov/engage/musicians/ . Vendor price and license terms may change; obtain binding quotes and permissions before buying.</w:t>
      </w:r>
    </w:p>
    <w:p>
      <w:pPr>
        <w:pStyle w:val="Heading1"/>
      </w:pPr>
      <w:r>
        <w:t>Direct link and special occasion acceptance</w:t>
      </w:r>
    </w:p>
    <w:p>
      <w:pPr/>
      <w:r>
        <w:t>The same unguessable, revocable URL works by text, email, social message or printable QR. For a dated event, the host may open contributions no earlier than six calendar months before the event. Guests can submit notes, cards and photos through day 90 afterward. At day 90, a wedding changes to gift-only until month 12; other events close. After the final deadline, the same URL shows a closed page and rejects new cards and gift intents; the host keeps private CardVault access and basic export. An undated one-off page must set a close date within 90 days of publishing. These state rules are part of the existing 10–14 hours for event setup and 24–38 hours for security and integration QA; reestimate after implementation if the time-zone tests exceed those ranges.</w:t>
      </w:r>
    </w:p>
    <w:p>
      <w:pPr/>
      <w:r>
        <w:t>A shared link exposes only approved public details and whichever guest action is permitted by the server state. Gift-only wedding pages cannot create notes, cards, art jobs or new book entries. The host cannot move the event date or closing window after the first contribution or gift attempt to reset the link; revocation can close earlier. Verified payment callbacks and host reconciliation continue after intake closes. Link possession never grants host access.</w:t>
      </w:r>
    </w:p>
    <w:p>
      <w:pPr>
        <w:pStyle w:val="Heading1"/>
      </w:pPr>
      <w:r>
        <w:t>Premium sale gate</w:t>
      </w:r>
    </w:p>
    <w:p>
      <w:r>
        <w:t>The $4.99 premium card and $15/$30/$79 event-book tiers in the Financial Summary are test offers after the free October MVP and broader pilot. The book counts 0–99 / 100–299 / 300+ consented entries after day 90. Guests are never blocked at a tier threshold. Standalone hosted product checkout adds 12–20 engineering hours and is not required for the October release; the fixed $500 developer fee still applies.</w:t>
      </w:r>
    </w:p>
    <w:p>
      <w:pPr>
        <w:pStyle w:val="Heading1"/>
      </w:pPr>
      <w:r>
        <w:t xml:space="preserve">Database design and delivery update — 13 October 2026</w:t>
      </w:r>
    </w:p>
    <w:p>
      <w:r>
        <w:t xml:space="preserve">Canonical decisions: docs/specs/DATA_MODEL.md and ADR 0005. Use one managed PostgreSQL database per environment with private object storage for photos and exports. Evaluate Supabase first; actual provider, version, identity integration and connection adapter remain subject to the ADR 0001 deployment spike. No database/service is provisioned by this planning change.</w:t>
      </w:r>
    </w:p>
    <w:p>
      <w:r>
        <w:t xml:space="preserve">Store one provider-linked customer identity, anonymous event-scoped guests separate from expiring sessions, unified note/card submissions, explicit consent and moderation history, immutable encrypted gift destination versions, external intent/activity and private book snapshots/exports. Module boundaries remain public contracts with scoped relational keys and short shared transactions. Outbox and deduplication protect accepted writes and host alerts.</w:t>
      </w:r>
    </w:p>
    <w:p>
      <w:r>
        <w:t xml:space="preserve">External gift activity is unconfirmed unless the host marks a checked receipt; neither a handoff nor a guest report proves payment. Future premium purchase transactions belong to Billing orders/attempts/verified events/entitlements/refunds. Approved integrated gift processing has a separate Gifts ledger/payout/reconciliation design and requires a new provider-approved ADR.</w:t>
      </w:r>
    </w:p>
    <w:p>
      <w:r>
        <w:t xml:space="preserve">The detailed backlog now has 180 October hours across 54 stories: previous 156 hours plus 24 explicit database-foundation hours in DCB-E18. Weekly totals are 72/54/54, so October 31 requires capacity replanning. The prior 114–157 October and 126–192 broader-pilot ranges are historical; the provisional broader pilot is 192–215 hours (180 + prior 12–35 follow-on allowance), pending overlap review. Do not add the old aggregate database allowance again. The fixed one-time $500 development arrangement and vendor-price assumptions are unchanged.</w:t>
      </w:r>
    </w:p>
    <w:p>
      <w:r>
        <w:t xml:space="preserve">Existing feature stories own behavior; existing Security stories own encryption and tested database/media restore, published retention and a manual deletion runbook. Database design alone is not implementation or verified transaction history. Guest intake closure does not delete private CardVault records or promise indefinite hosting. Automated deletion and future checkout remain Post-MVP.</w:t>
      </w:r>
    </w:p>
    <w:p>
      <w:r>
        <w:t xml:space="preserve">The schedule and external-pilot table above now mirror the canonical story estimates. Older range statements elsewhere in this reference describe the original planning case and are superseded for scheduling by this 180-hour baseline. Later integrated-payment and licensing estimates remain separate; October database work is not billed twice.</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