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DigitalCardBox MVP Timeline</w:t>
      </w:r>
    </w:p>
    <w:p>
      <w:r>
        <w:t>Event and one-off occasion pages shared by link or QR with optional cash gifting  |  Planning date 11 October 2026</w:t>
      </w:r>
    </w:p>
    <w:p>
      <w:r>
        <w:t>Planning date: 11 October 2026. DigitalCardBox targets a private, working external-wallet MVP by 31 October 2026. One experienced React developer uses AI to draft code but reviews and tests every security and payment-boundary change. The October scope is 114–157 focused engineering hours over three weeks (about 38–52 hours each week); the dated issue backlog totals 156 hours near the upper end. This is a demanding target, not a guarantee. The one-time development fee is indefinitely fixed at $500 and does not rise with hours or later planned code work. The broader external pilot, including supervised events and optional image generation, remains 126–192 hours over roughly 6–8 calendar weeks. Later premium checkout, integrated payments and licensed music are separate gates.</w:t>
      </w:r>
    </w:p>
    <w:p>
      <w:pPr>
        <w:pStyle w:val="Heading1"/>
      </w:pPr>
      <w:r>
        <w:t>Critical path and choice</w:t>
      </w:r>
    </w:p>
    <w:p>
      <w:r>
        <w:t>The October 31 private MVP uses external payment-service handoff and does not process cash gifts. Guests create a manual card or note, may choose an editable AI-assisted draft and card layout, and can choose among the host-confirmed Cash App, Venmo or Zelle routes. The October release must include real host authentication, server-enforced event windows, private CardVault access, a shareable link and QR, and tests for destination changes and false payment claims. Generative artwork and two supervised events may continue into the broader pilot after October. Integrated gift checkout needs written provider approval.</w:t>
      </w:r>
    </w:p>
    <w:tbl>
      <w:tblPr>
        <w:tblW w:type="auto" w:w="0"/>
        <w:jc w:val="center"/>
        <w:tblLayout w:type="fixed"/>
        <w:tblLook w:firstColumn="1" w:firstRow="1" w:lastColumn="0" w:lastRow="0" w:noHBand="0" w:noVBand="1" w:val="04A0"/>
      </w:tblPr>
      <w:tblGrid>
        <w:gridCol w:w="1080"/>
        <w:gridCol w:w="4939"/>
        <w:gridCol w:w="1195"/>
        <w:gridCol w:w="2578"/>
      </w:tblGrid>
      <w:tr>
        <w:trPr>
          <w:cantSplit/>
          <w:tblHeader/>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Window</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Build and learn</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Eng hours</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Exit condition</w:t>
            </w:r>
          </w:p>
        </w:tc>
      </w:tr>
      <w:tr>
        <w:trPr>
          <w:cantSplit/>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12–18 Oct</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Set up repo and deploy preview, choose backend stack, implement host sign-in, event ownership, date/time zone and link/QR; review mobile prototype.</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36–48</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Authenticated host can create and share an event; guest sees correct open or closed state.</w:t>
            </w:r>
          </w:p>
        </w:tc>
      </w:tr>
      <w:tr>
        <w:trPr>
          <w:cantSplit/>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19–25 Oct</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Implement manual note/card/photo, guided editable AI choices, private storage, host CardVault and verified multi-service destination setup.</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42–55</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Card works without AI or a gift; host can confirm multiple routes; changes pause only the edited route.</w:t>
            </w:r>
          </w:p>
        </w:tc>
      </w:tr>
      <w:tr>
        <w:trPr>
          <w:cantSplit/>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26–31 Oct</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Complete exact guest payee review and external handoff; enforce lifecycle, export and abuse limits; run mobile, access, wrong-payee and failure tests.</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36–54</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Private October MVP only if all security and money-state release gates pass.</w:t>
            </w:r>
          </w:p>
        </w:tc>
      </w:tr>
      <w:tr>
        <w:trPr>
          <w:cantSplit/>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November pilot</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Run two supervised occasions, measure completion, fix defects and optionally test image generation after the October gate.</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12–35</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Hosts reconcile real external transfers themselves; no app claim of provider verification.</w:t>
            </w:r>
          </w:p>
        </w:tc>
      </w:tr>
    </w:tbl>
    <w:p>
      <w:pPr>
        <w:pStyle w:val="Heading1"/>
        <w:pageBreakBefore/>
      </w:pPr>
      <w:r>
        <w:t>Minimum release scope</w:t>
      </w:r>
    </w:p>
    <w:tbl>
      <w:tblPr>
        <w:tblW w:type="auto" w:w="0"/>
        <w:jc w:val="center"/>
        <w:tblLayout w:type="fixed"/>
        <w:tblLook w:firstColumn="1" w:firstRow="1" w:lastColumn="0" w:lastRow="0" w:noHBand="0" w:noVBand="1" w:val="04A0"/>
      </w:tblPr>
      <w:tblGrid>
        <w:gridCol w:w="4752"/>
        <w:gridCol w:w="5040"/>
      </w:tblGrid>
      <w:tr>
        <w:trPr>
          <w:cantSplit/>
          <w:tblHeader/>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Required for external pilot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Added before integrated payments</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page, shared link/QR, note/photo intake, private dashboard and basic CardVault export; dated windows: open ≤6 months before, notes close day 90, wedding gift-only to month 12, then closed landing. Guided AI and editable templates.</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Recipient identity and bank onboarding; approved card and mobile wallet checkout; hosted payment fields.</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One active host confirmed cash destination per enabled service (Cash App, Venmo or Zelle), with one or more services per event; guest chooses one; double entry, exact guest display, guest acknowledgement and supported service handoff. Changing one service requires fresh auth, alert and new version, pausing only that service; switching resets guest acknowledgement. External state is not provider verified.</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Payment ledger, webhook verification and idempotency, payout state, refunds, disputes and reconciliation.</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Basic fraud and abuse limits on content and scans; privacy notice and consent.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Risk limits and velocity rules, support runbook, fee disclosure and provider approved operating policies.</w:t>
            </w:r>
          </w:p>
        </w:tc>
      </w:tr>
    </w:tbl>
    <w:p>
      <w:pPr>
        <w:spacing w:after="0"/>
      </w:pPr>
    </w:p>
    <w:p>
      <w:pPr>
        <w:pStyle w:val="Heading1"/>
      </w:pPr>
      <w:r>
        <w:t>What waits until after pilots</w:t>
      </w:r>
    </w:p>
    <w:p>
      <w:r>
        <w:t>Native mobile apps, licensed music, generated image backgrounds, video hosting, a design marketplace, printed books, pooled payments, international transfers, broad birthday reminders and a relationship graph wait until after the October release. AI-assisted note choices and editable card layouts remain in the October scope. The full external pilot may test image generation after the release gate.</w:t>
      </w:r>
    </w:p>
    <w:p>
      <w:pPr>
        <w:pStyle w:val="Heading1"/>
      </w:pPr>
      <w:r>
        <w:t>Weekly delivery checklist</w:t>
      </w:r>
    </w:p>
    <w:tbl>
      <w:tblPr>
        <w:tblW w:type="auto" w:w="0"/>
        <w:jc w:val="center"/>
        <w:tblLayout w:type="fixed"/>
        <w:tblLook w:firstColumn="1" w:firstRow="1" w:lastColumn="0" w:lastRow="0" w:noHBand="0" w:noVBand="1" w:val="04A0"/>
      </w:tblPr>
      <w:tblGrid>
        <w:gridCol w:w="821"/>
        <w:gridCol w:w="5414"/>
        <w:gridCol w:w="1181"/>
        <w:gridCol w:w="2376"/>
      </w:tblGrid>
      <w:tr>
        <w:trPr>
          <w:cantSplit/>
          <w:tblHeader/>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Dates</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Concrete output</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Eng hours</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Owner or dependency</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12–14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Initialize repository, CI, prototype and backend decision; specify host access and destination state.</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13–18</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Developer; founder feedback</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15–18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auth, event setup, server lifecycle, link and QR; test ownership.</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23–30</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Developer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19–22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Manual notes/cards/photo and guided editable AI note/card choices; test fallback and quotas.</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21–28</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Developer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23–25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dashboard and CardVault; configure, double-enter, confirm and version payment service routes.</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21–27</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Developer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26–29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service picker, payee disclosure and handoff; test switching, stale versions, closed pages and access controls.</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24–37</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Developer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30–31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Phone, accessibility, recovery and security regression; review pilot release gate.</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12–17</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Developer and founder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November</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Two supervised occasions, feedback and optional image-generation experiment.</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12–35</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Developer, founder, hosts</w:t>
            </w:r>
          </w:p>
        </w:tc>
      </w:tr>
    </w:tbl>
    <w:p>
      <w:pPr>
        <w:spacing w:after="0"/>
      </w:pPr>
    </w:p>
    <w:p>
      <w:pPr>
        <w:spacing w:after="0"/>
      </w:pPr>
    </w:p>
    <w:p>
      <w:pPr>
        <w:pStyle w:val="Heading1"/>
      </w:pPr>
      <w:r>
        <w:t>Engineering task estimates</w:t>
      </w:r>
    </w:p>
    <w:p>
      <w:r>
        <w:t>The October slice is 114–157 focused engineering hours across the three dated rows below. The remaining 12–35 hours of the 126–192-hour external pilot cover supervised events, image generation experiments and fixes after October. These are schedule estimates only; the $500 development fee stays fixed. External host availability, counsel and vendor waiting time are excluded.</w:t>
      </w:r>
    </w:p>
    <w:p>
      <w:pPr>
        <w:pStyle w:val="Heading1"/>
      </w:pPr>
      <w:r>
        <w:t>External payment pilot tasks</w:t>
      </w:r>
    </w:p>
    <w:tbl>
      <w:tblPr>
        <w:tblW w:type="auto" w:w="0"/>
        <w:jc w:val="center"/>
        <w:tblLayout w:type="fixed"/>
        <w:tblLook w:firstColumn="1" w:firstRow="1" w:lastColumn="0" w:lastRow="0" w:noHBand="0" w:noVBand="1" w:val="04A0"/>
      </w:tblPr>
      <w:tblGrid>
        <w:gridCol w:w="3398"/>
        <w:gridCol w:w="979"/>
        <w:gridCol w:w="5414"/>
      </w:tblGrid>
      <w:tr>
        <w:trPr>
          <w:cantSplit/>
          <w:tblHeader/>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Engineering task</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Hours</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Done when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use case and engineering spec</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4–8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External destination and status rules, likely failure cases and a later provider question list.</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Mobile UX and clickable prototype</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6–10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and guest screens; usability fixes.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Repository, database, deploy and CI</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8–12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Environments, migrations, secrets and backups.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auth, sessions and access control</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12–18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Managed sign in, roles, CSRF and step up actions.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Event setup and QR</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10–14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Ownership, event date/time zone, server-side open/close windows, shareable link and printable QR.</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notes, cards and photo intake</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10–14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Editable note, upload limits, consent and templates.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Guided AI note suggestions</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8–12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Three choices, moderation, quotas and fallback.</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artwork and private media jobs</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10–14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Two variations, worker, overlay and static fallback.</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dashboard, moderation and export</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10–14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Private list, consented book and audit.</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External cash handoff</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6–10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Host-selected allowlisted services, each exact identifier entered twice and confirmed by host, guest selection and versioned selected-route disclosure, no arbitrary redirect and honest unconfirmed status.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Security, accessibility and integration QA</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24–38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Wrong or changed payee, method switch, disabled/stale route and cross-event access, mobile, gift-only boundaries, revocation and no false receipt claims; scripted errors all pass.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Supervised pilot fixes and observability</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12–16</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Pilot measurement, alerts and priority fixes.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Multiple-service selection and regression</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6–12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can enable any subset; guest switches services; only edited route pauses; selected ID/version is checked at handoff.</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pilot subtotal</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126–192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3.2–4.8 focused full-time engineering weeks; roughly 6–8 calendar weeks with host trials.</w:t>
            </w:r>
          </w:p>
        </w:tc>
      </w:tr>
    </w:tbl>
    <w:p>
      <w:pPr>
        <w:spacing w:after="0"/>
      </w:pPr>
    </w:p>
    <w:p>
      <w:pPr>
        <w:pStyle w:val="Heading1"/>
      </w:pPr>
      <w:r>
        <w:t>Integrated payment tasks added afterward</w:t>
      </w:r>
    </w:p>
    <w:tbl>
      <w:tblPr>
        <w:tblW w:type="auto" w:w="0"/>
        <w:jc w:val="center"/>
        <w:tblLayout w:type="fixed"/>
        <w:tblLook w:firstColumn="1" w:firstRow="1" w:lastColumn="0" w:lastRow="0" w:noHBand="0" w:noVBand="1" w:val="04A0"/>
      </w:tblPr>
      <w:tblGrid>
        <w:gridCol w:w="3398"/>
        <w:gridCol w:w="979"/>
        <w:gridCol w:w="5414"/>
      </w:tblGrid>
      <w:tr>
        <w:trPr>
          <w:cantSplit/>
          <w:tblHeader/>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Engineering task</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Hours</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Done when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integration design</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8–12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Approved funds flow, state and fee mapping; approval wait excluded.</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Hosted recipient onboarding</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16–24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account, readiness and secure host handoff.</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Hosted checkout and fee disclosure</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18–28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Session creation, amount checks, redirect and return.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Signed webhooks and gift ledger</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24–36</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Signature, deduplication and idempotent state.</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Refunds, disputes, payouts and reconciliation</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24–40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Exception queue, settlement and daily balances.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Risk limits and support operations</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12–20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Velocity rules, operator actions and incident playbook.</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Security regression and integrated pilot</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38–60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Attack checks, sandbox failures and live supervision.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 increment subtotal</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140–220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3.5–5.5 focused engineering weeks after provider approval.</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Both phases combined</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266–412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6.5–10 focused weeks, spread across a gated calendar.</w:t>
            </w:r>
          </w:p>
        </w:tc>
      </w:tr>
    </w:tbl>
    <w:p>
      <w:pPr>
        <w:spacing w:after="0"/>
      </w:pPr>
    </w:p>
    <w:p>
      <w:pPr>
        <w:pStyle w:val="Heading1"/>
      </w:pPr>
      <w:r>
        <w:t>Effort and schedule assumptions</w:t>
      </w:r>
    </w:p>
    <w:p>
      <w:r>
        <w:t>The October private MVP is 114–157 focused hours, or about 38–52 hours each week from 12–31 October. The full external pilot remains 126–192 hours after supervised validation and image experiments; later integrated payments add 140–220 hours only after written approval. AI shortens drafting but cannot replace human review of authorization, payment routing, lifecycle boundaries or accessibility. If a release gate fails, keep the private beta closed and move the date rather than remove those checks.</w:t>
      </w:r>
    </w:p>
    <w:p>
      <w:r>
        <w:t>The local starter is React and Vite because the developer already knows React. An early architecture decision selects either Next.js server routes or React with Cloudflare Functions for the production backend; the one-repo, orthogonal domain boundaries apply either way. A decision by 14 October keeps the 31 October target viable. The fixed $500 fee is independent of the chosen stack and future code phases.</w:t>
      </w:r>
    </w:p>
    <w:p>
      <w:pPr>
        <w:pStyle w:val="Heading1"/>
        <w:pageBreakBefore/>
      </w:pPr>
      <w:r>
        <w:t>Go or no go gates</w:t>
      </w:r>
    </w:p>
    <w:p>
      <w:pPr>
        <w:pStyle w:val="ListBullet"/>
      </w:pPr>
      <w:r>
        <w:t>Provider gate: written acceptance of the funds flow, fee structure, dispute allocation, recipient verification and payout timing before integrated live payments.</w:t>
      </w:r>
    </w:p>
    <w:p>
      <w:pPr>
        <w:pStyle w:val="ListBullet"/>
      </w:pPr>
      <w:r>
        <w:t>External money gate: no unresolved wrong-destination defect; at least one active host confirmed service, exact display for the guest-selected service, acknowledgment reset on switches, guest check inside provider, protected change process, and host marked receipt only. Later integrated money gate: signed provider events reconcile daily and unsettled funds never appear as available.</w:t>
      </w:r>
    </w:p>
    <w:p>
      <w:pPr>
        <w:pStyle w:val="ListBullet"/>
      </w:pPr>
      <w:r>
        <w:t>Experience gate: guests complete a message and a gift on their own phones; track separate conversion for external handoff and integrated checkout.</w:t>
      </w:r>
    </w:p>
    <w:p>
      <w:pPr>
        <w:pStyle w:val="ListBullet"/>
      </w:pPr>
      <w:r>
        <w:t>Economics gate: measure blended funding cost, minimum fee allocation, premium event uptake, support minutes and dispute losses; price from actual terms.</w:t>
      </w:r>
    </w:p>
    <w:p>
      <w:pPr>
        <w:pStyle w:val="ListBullet"/>
      </w:pPr>
      <w:r>
        <w:t>Growth gate: measure whether guests later become hosts and whether venues or planners refer additional events.</w:t>
      </w:r>
    </w:p>
    <w:p>
      <w:pPr>
        <w:pStyle w:val="Heading1"/>
      </w:pPr>
      <w:r>
        <w:t>Conditional artwork and licensed music workstream</w:t>
      </w:r>
    </w:p>
    <w:p>
      <w:pPr/>
      <w:r>
        <w:t>The October private MVP excludes generated image backgrounds and commercial music. The broader external-wallet pilot is 126–192 engineering hours over roughly 6–8 calendar weeks, including the October 114–157-hour slice and 12–35 hours of follow-on art exploration, supervised events and fixes. Licensed music adds 16–28 hours after rights clearance. Vendor work and waiting time are separate.</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2131"/>
            <w:shd w:fill="243B4D"/>
          </w:tcPr>
          <w:p>
            <w:pPr>
              <w:spacing w:after="20"/>
            </w:pPr>
            <w:r>
              <w:rPr>
                <w:b/>
                <w:color w:val="FFFFFF"/>
                <w:sz w:val="16"/>
              </w:rPr>
              <w:t>Decision or task</w:t>
            </w:r>
          </w:p>
        </w:tc>
        <w:tc>
          <w:tcPr>
            <w:tcW w:type="dxa" w:w="4579"/>
            <w:shd w:fill="243B4D"/>
          </w:tcPr>
          <w:p>
            <w:pPr>
              <w:spacing w:after="20"/>
            </w:pPr>
            <w:r>
              <w:rPr>
                <w:b/>
                <w:color w:val="FFFFFF"/>
                <w:sz w:val="16"/>
              </w:rPr>
              <w:t>Indicative cost / hours</w:t>
            </w:r>
          </w:p>
        </w:tc>
        <w:tc>
          <w:tcPr>
            <w:tcW w:type="dxa" w:w="3082"/>
            <w:shd w:fill="243B4D"/>
          </w:tcPr>
          <w:p>
            <w:pPr>
              <w:spacing w:after="20"/>
            </w:pPr>
            <w:r>
              <w:rPr>
                <w:b/>
                <w:color w:val="FFFFFF"/>
                <w:sz w:val="16"/>
              </w:rPr>
              <w:t>Release gate</w:t>
            </w:r>
          </w:p>
        </w:tc>
      </w:tr>
      <w:tr>
        <w:tc>
          <w:tcPr>
            <w:tcW w:type="dxa" w:w="2131"/>
            <w:vAlign w:val="center"/>
          </w:tcPr>
          <w:p>
            <w:pPr>
              <w:spacing w:after="20"/>
            </w:pPr>
            <w:r>
              <w:rPr>
                <w:b/>
                <w:sz w:val="16"/>
              </w:rPr>
              <w:t>Commission card artwork</w:t>
            </w:r>
          </w:p>
        </w:tc>
        <w:tc>
          <w:tcPr>
            <w:tcW w:type="dxa" w:w="4579"/>
            <w:vAlign w:val="center"/>
          </w:tcPr>
          <w:p>
            <w:pPr>
              <w:spacing w:after="20"/>
            </w:pPr>
            <w:r>
              <w:rPr>
                <w:sz w:val="16"/>
              </w:rPr>
              <w:t>99designs lists US$299–US$1,499 estimated per illustration brief, or a contest from US$349. Four commissions at the range imply US$1,196–US$5,996 before tax and revisions.</w:t>
            </w:r>
          </w:p>
        </w:tc>
        <w:tc>
          <w:tcPr>
            <w:tcW w:type="dxa" w:w="3082"/>
            <w:vAlign w:val="center"/>
          </w:tcPr>
          <w:p>
            <w:pPr>
              <w:spacing w:after="20"/>
            </w:pPr>
            <w:r>
              <w:rPr>
                <w:sz w:val="16"/>
              </w:rPr>
              <w:t>Request a written quote for reusable commercial card templates, derivatives, sublicensing and export rights.</w:t>
            </w:r>
          </w:p>
        </w:tc>
      </w:tr>
      <w:tr>
        <w:tc>
          <w:tcPr>
            <w:tcW w:type="dxa" w:w="2131"/>
            <w:vAlign w:val="center"/>
            <w:shd w:fill="F1F4F6"/>
          </w:tcPr>
          <w:p>
            <w:pPr>
              <w:spacing w:after="20"/>
            </w:pPr>
            <w:r>
              <w:rPr>
                <w:b/>
                <w:sz w:val="16"/>
              </w:rPr>
              <w:t>License stock artwork</w:t>
            </w:r>
          </w:p>
        </w:tc>
        <w:tc>
          <w:tcPr>
            <w:tcW w:type="dxa" w:w="4579"/>
            <w:vAlign w:val="center"/>
            <w:shd w:fill="F1F4F6"/>
          </w:tcPr>
          <w:p>
            <w:pPr>
              <w:spacing w:after="20"/>
            </w:pPr>
            <w:r>
              <w:rPr>
                <w:sz w:val="16"/>
              </w:rPr>
              <w:t>Adobe Stock lists US$29.99/month for 10 standard assets under an annual commitment, paid monthly.</w:t>
            </w:r>
          </w:p>
        </w:tc>
        <w:tc>
          <w:tcPr>
            <w:tcW w:type="dxa" w:w="3082"/>
            <w:vAlign w:val="center"/>
            <w:shd w:fill="F1F4F6"/>
          </w:tcPr>
          <w:p>
            <w:pPr>
              <w:spacing w:after="20"/>
            </w:pPr>
            <w:r>
              <w:rPr>
                <w:sz w:val="16"/>
              </w:rPr>
              <w:t>This is a sourcing price, not permission to use standard assets as card templates for resale; confirm an extended or enterprise grant first.</w:t>
            </w:r>
          </w:p>
        </w:tc>
      </w:tr>
      <w:tr>
        <w:tc>
          <w:tcPr>
            <w:tcW w:type="dxa" w:w="2131"/>
            <w:vAlign w:val="center"/>
          </w:tcPr>
          <w:p>
            <w:pPr>
              <w:spacing w:after="20"/>
            </w:pPr>
            <w:r>
              <w:rPr>
                <w:b/>
                <w:sz w:val="16"/>
              </w:rPr>
              <w:t>Source and approve art</w:t>
            </w:r>
          </w:p>
        </w:tc>
        <w:tc>
          <w:tcPr>
            <w:tcW w:type="dxa" w:w="4579"/>
            <w:vAlign w:val="center"/>
          </w:tcPr>
          <w:p>
            <w:pPr>
              <w:spacing w:after="20"/>
            </w:pPr>
            <w:r>
              <w:rPr>
                <w:sz w:val="16"/>
              </w:rPr>
              <w:t>8–16 product/design hours (nonengineering); artist turnaround and legal review excluded.</w:t>
            </w:r>
          </w:p>
        </w:tc>
        <w:tc>
          <w:tcPr>
            <w:tcW w:type="dxa" w:w="3082"/>
            <w:vAlign w:val="center"/>
          </w:tcPr>
          <w:p>
            <w:pPr>
              <w:spacing w:after="20"/>
            </w:pPr>
            <w:r>
              <w:rPr>
                <w:sz w:val="16"/>
              </w:rPr>
              <w:t>Review attribution, permissions, source files, accessibility and asset record before publishing.</w:t>
            </w:r>
          </w:p>
        </w:tc>
      </w:tr>
      <w:tr>
        <w:tc>
          <w:tcPr>
            <w:tcW w:type="dxa" w:w="2131"/>
            <w:vAlign w:val="center"/>
            <w:shd w:fill="F1F4F6"/>
          </w:tcPr>
          <w:p>
            <w:pPr>
              <w:spacing w:after="20"/>
            </w:pPr>
            <w:r>
              <w:rPr>
                <w:b/>
                <w:sz w:val="16"/>
              </w:rPr>
              <w:t>Add licensed song picker</w:t>
            </w:r>
          </w:p>
        </w:tc>
        <w:tc>
          <w:tcPr>
            <w:tcW w:type="dxa" w:w="4579"/>
            <w:vAlign w:val="center"/>
            <w:shd w:fill="F1F4F6"/>
          </w:tcPr>
          <w:p>
            <w:pPr>
              <w:spacing w:after="20"/>
            </w:pPr>
            <w:r>
              <w:rPr>
                <w:sz w:val="16"/>
              </w:rPr>
              <w:t>16–28 additional engineering hours after the external pilot; calendar timing depends on licensing approval.</w:t>
            </w:r>
          </w:p>
        </w:tc>
        <w:tc>
          <w:tcPr>
            <w:tcW w:type="dxa" w:w="3082"/>
            <w:vAlign w:val="center"/>
            <w:shd w:fill="F1F4F6"/>
          </w:tcPr>
          <w:p>
            <w:pPr>
              <w:spacing w:after="20"/>
            </w:pPr>
            <w:r>
              <w:rPr>
                <w:sz w:val="16"/>
              </w:rPr>
              <w:t>Implement catalog, rights checks, selection, playback, moderation and expiry fallback. No live copyrighted clips before agreement.</w:t>
            </w:r>
          </w:p>
        </w:tc>
      </w:tr>
      <w:tr>
        <w:tc>
          <w:tcPr>
            <w:tcW w:type="dxa" w:w="2131"/>
            <w:vAlign w:val="center"/>
          </w:tcPr>
          <w:p>
            <w:pPr>
              <w:spacing w:after="20"/>
            </w:pPr>
            <w:r>
              <w:rPr>
                <w:b/>
                <w:sz w:val="16"/>
              </w:rPr>
              <w:t>Music rights/vendor</w:t>
            </w:r>
          </w:p>
        </w:tc>
        <w:tc>
          <w:tcPr>
            <w:tcW w:type="dxa" w:w="4579"/>
            <w:vAlign w:val="center"/>
          </w:tcPr>
          <w:p>
            <w:pPr>
              <w:spacing w:after="20"/>
            </w:pPr>
            <w:r>
              <w:rPr>
                <w:sz w:val="16"/>
              </w:rPr>
              <w:t>Feed Clips advertises licensed in-app clips but publishes no card-specific price here; request monthly minimum, per-use charges and setup fees.</w:t>
            </w:r>
          </w:p>
        </w:tc>
        <w:tc>
          <w:tcPr>
            <w:tcW w:type="dxa" w:w="3082"/>
            <w:vAlign w:val="center"/>
          </w:tcPr>
          <w:p>
            <w:pPr>
              <w:spacing w:after="20"/>
            </w:pPr>
            <w:r>
              <w:rPr>
                <w:sz w:val="16"/>
              </w:rPr>
              <w:t>Written grant must include in-card and in-note playback, territory, sharing, retention, revocation and export if needed.</w:t>
            </w:r>
          </w:p>
        </w:tc>
      </w:tr>
    </w:tbl>
    <w:p/>
    <w:p>
      <w:pPr/>
      <w:r>
        <w:t>Licensed music is after the October MVP. If added to the full external pilot, allow 142–220 hours (126–192 plus 16–28). Art sourcing takes 8–16 separate design hours. A no-song, editable static card always works.</w:t>
      </w:r>
    </w:p>
    <w:p>
      <w:pPr>
        <w:keepLines/>
      </w:pPr>
      <w:r>
        <w:t>Rights-first acceptance: guests may choose “No song” or a licensed catalog clip; preview is user initiated and muted by default. Persist a catalog ID and rights version, not the raw recording. Suppress unavailable tracks. Event-book streaming and downloaded exports need separate coverage in the agreement; otherwise use text attribution only and omit playable audio from exports.</w:t>
      </w:r>
    </w:p>
    <w:p>
      <w:pPr/>
      <w:r>
        <w:t>Price and rights sources checked 28 September 2026: 99designs https://99designs.com/pricing/illustrations ; Adobe Stock https://stock.adobe.com/Plans and https://stock.adobe.com/license-terms ; Feed Clips https://www.feed.fm/clips ; U.S. Copyright Office https://www.copyright.gov/engage/musicians/ . Vendor price and license terms may change; obtain binding quotes and permissions before buying.</w:t>
      </w:r>
    </w:p>
    <w:p>
      <w:pPr>
        <w:pStyle w:val="Heading1"/>
      </w:pPr>
      <w:r>
        <w:t>Direct link and special occasion acceptance</w:t>
      </w:r>
    </w:p>
    <w:p>
      <w:pPr/>
      <w:r>
        <w:t>The same unguessable, revocable URL works by text, email, social message or printable QR. For a dated event, the host may open contributions no earlier than six calendar months before the event. Guests can submit notes, cards and photos through day 90 afterward. At day 90, a wedding changes to gift-only until month 12; other events close. After the final deadline, the same URL shows a closed page and rejects new cards and gift intents; the host keeps private CardVault access and basic export. An undated one-off page must set a close date within 90 days of publishing. These state rules are part of the existing 10–14 hours for event setup and 24–38 hours for security and integration QA; reestimate after implementation if the time-zone tests exceed those ranges.</w:t>
      </w:r>
    </w:p>
    <w:p>
      <w:pPr/>
      <w:r>
        <w:t>A shared link exposes only approved public details and whichever guest action is permitted by the server state. Gift-only wedding pages cannot create notes, cards, art jobs or new book entries. The host cannot move the event date or closing window after the first contribution or gift attempt to reset the link; revocation can close earlier. Verified payment callbacks and host reconciliation continue after intake closes. Link possession never grants host access.</w:t>
      </w:r>
    </w:p>
    <w:p>
      <w:pPr>
        <w:pStyle w:val="Heading1"/>
      </w:pPr>
      <w:r>
        <w:t>Premium sale gate</w:t>
      </w:r>
    </w:p>
    <w:p>
      <w:r>
        <w:t>The $4.99 premium card and $15/$30/$79 event-book tiers in the Financial Summary are test offers after the free October MVP and broader pilot. The book counts 0–99 / 100–299 / 300+ consented entries after day 90. Guests are never blocked at a tier threshold. Standalone hosted product checkout adds 12–20 engineering hours and is not required for the October release; the fixed $500 developer fee still applies.</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