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DigitalCardBox Questions and Draft Answers</w:t>
      </w:r>
    </w:p>
    <w:p>
      <w:pPr/>
      <w:r>
        <w:rPr>
          <w:i/>
        </w:rPr>
        <w:t>Review draft October 2026</w:t>
      </w:r>
    </w:p>
    <w:p>
      <w:pPr/>
      <w:r>
        <w:t>This draft answers the product, security, music, pricing, storage, and cost questions raised for the pilot. The first version keeps money transfers with outside payment services and allows manual card creation with a limited optional AI note assistant. Book pricing uses the number of entries actually included after contributions close. Links and QR codes share one time-limited event page.</w:t>
      </w:r>
    </w:p>
    <w:p>
      <w:pPr>
        <w:pStyle w:val="Heading1"/>
      </w:pPr>
      <w:r>
        <w:t>October 2026 delivery alignment</w:t>
      </w:r>
    </w:p>
    <w:p>
      <w:r>
        <w:t>DigitalCardBox is the working product name. These organized questions and draft answers are review material. The October 31 private MVP centers on manual and editable AI-assisted cards, multiple host-confirmed external gift services, time-limited links, and private CardVault access. Music rights, premium book checkout and generated art follow separate gates.</w:t>
      </w:r>
    </w:p>
    <w:p>
      <w:pPr>
        <w:pStyle w:val="Heading1"/>
      </w:pPr>
      <w:r>
        <w:t>Developer experience and security</w:t>
      </w:r>
    </w:p>
    <w:p>
      <w:pPr>
        <w:pStyle w:val="Question"/>
      </w:pPr>
      <w:r>
        <w:t>Questions for the developer</w:t>
      </w:r>
    </w:p>
    <w:p>
      <w:pPr/>
      <w:r>
        <w:t>How many years have you worked in software engineering at JPMorgan? What did you build there? Have you shipped websites, backend systems, authentication, payment handoffs, or cloud systems? What security testing did you perform on applications you released?</w:t>
      </w:r>
    </w:p>
    <w:p>
      <w:pPr/>
      <w:r>
        <w:t>We cannot verify the developer’s experience without their answer. A bank engineering background may help, but the launch decision should depend on a working demonstration and security tests. No developer can guarantee that a website cannot be hacked. AI-written code requires the same testing as code written by hand. [1, 2]</w:t>
      </w:r>
    </w:p>
    <w:p>
      <w:pPr/>
      <w:r>
        <w:t>For a supervised pilot, the developer should show that one host cannot see another host’s private cards, changes to gift destinations require a protected sign-in, files are checked before upload, and unusual activity is logged. Managed authentication, multi-factor protection for sensitive changes, server-side permission checks, private storage, rate limits, and backups are appropriate controls. [1, 2]</w:t>
      </w:r>
    </w:p>
    <w:p>
      <w:pPr/>
      <w:r>
        <w:t>A giver leaves our site to pay the host in a selected external payment service. We do not hold gift funds or collect payment credentials, but we store the host supplied destinations. For the first version, a host can enable any subset of Cash App, Venmo and Zelle, with one active destination per service. Each requires exact double entry and host confirmation before it appears to guests. The guest chooses a host-enabled service, sees its full details and must compare the recipient shown inside that service. Switching methods resets the acknowledgment. Editing or disabling one route pauses that route only; the other confirmed methods stay available. A click is not proof of payment; the host checks the selected app and may mark received. App errors, account takeover and misleading presentation remain possible. Terms should allocate host and guest input responsibility to the extent permitted by law without claiming the business has no liability for its own mistakes. Have counsel review final copy. [10, 11]</w:t>
      </w:r>
    </w:p>
    <w:p>
      <w:pPr/>
      <w:r>
        <w:t>Sample guest copy: “Choose a payment service the event host enabled. You are sending directly to the account the event host supplied: [exact identifier] in [selected service]. This site does not process or verify your gift. If you change services, review the new destination again. Check the recipient shown in your payment app. If it is not the person you intended, stop and contact the host using a number you already know.” The host acknowledges ownership for each service and receives an alert if a destination changes. The app never calls a link open a completed transfer.</w:t>
      </w:r>
    </w:p>
    <w:p>
      <w:pPr>
        <w:pStyle w:val="Heading1"/>
      </w:pPr>
      <w:r>
        <w:t>Music on cards</w:t>
      </w:r>
    </w:p>
    <w:p>
      <w:pPr>
        <w:pStyle w:val="Question"/>
      </w:pPr>
      <w:r>
        <w:t>Can a creator add 15 to 30 seconds of a song through a music app?</w:t>
      </w:r>
    </w:p>
    <w:p>
      <w:pPr/>
      <w:r>
        <w:t>A short clip is not automatically free to use. The U.S. Copyright Office has no fixed number-of-seconds exemption. Spotify’s current developer policy also disallows using its preview clips for personalization or messaging products and restricts synchronizing recordings with visual media. A subscription or an embedded player therefore does not by itself give us permission to make songs play inside personalized cards. Other services require their own terms review. [3, 4]</w:t>
      </w:r>
    </w:p>
    <w:p>
      <w:pPr/>
      <w:r>
        <w:t>MVP proposal. Let a creator enter a song title and add a button that opens the track in the music provider’s own app or site. The card would not contain copied audio. If in-card snippets become a priority, obtain a vendor agreement or music rights that expressly cover commercial, personalized, shareable cards.</w:t>
      </w:r>
    </w:p>
    <w:p>
      <w:pPr>
        <w:pStyle w:val="Heading1"/>
      </w:pPr>
      <w:r>
        <w:t>GIFs and animated cards</w:t>
      </w:r>
    </w:p>
    <w:p>
      <w:pPr>
        <w:pStyle w:val="Question"/>
      </w:pPr>
      <w:r>
        <w:t>Can a creator use a GIF instead of a still photo?</w:t>
      </w:r>
    </w:p>
    <w:p>
      <w:pPr/>
      <w:r>
        <w:t>Yes. A GIF could be the card cover, the photo area, or a sticker. Start with original or permitted user uploads and a file-size limit such as 5 MB. The interactive CardVault can preserve motion; a PDF export needs a still frame. The card should also offer a still image for people who prefer reduced motion.</w:t>
      </w:r>
    </w:p>
    <w:p>
      <w:pPr/>
      <w:r>
        <w:t>A searchable GIPHY picker is possible, but its API requires visible attribution and its starter key has rate limits. A production key may require an application and a pricing discussion. We should check commercial display and export rights before putting third-party GIFs into paid cards or books. [5, 6]</w:t>
      </w:r>
    </w:p>
    <w:p>
      <w:pPr>
        <w:pStyle w:val="Heading1"/>
      </w:pPr>
      <w:r>
        <w:t>Premium event book pricing</w:t>
      </w:r>
    </w:p>
    <w:p>
      <w:pPr>
        <w:pStyle w:val="Question"/>
      </w:pPr>
      <w:r>
        <w:t>Should the price vary by the number of guests?</w:t>
      </w:r>
    </w:p>
    <w:p>
      <w:pPr/>
      <w:r>
        <w:t>Do not ask the host to choose or prepay for guest capacity. Anyone with the link can contribute during the open window; crossing 100 entries never blocks a guest. One approved note or card submission included in the final premium book counts as one entry; attached photos do not add entries. Page views, gifts and invitations never count. Show the current projected price as entries arrive. After contributions close, the host can preview for free and decide whether to purchase the polished book at the final tier; the basic CardVault export remains available without a premium purchase.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944"/>
        <w:gridCol w:w="3960"/>
      </w:tblGrid>
      <w:tr>
        <w:trPr>
          <w:tblHeader/>
        </w:trPr>
        <w:tc>
          <w:tcPr>
            <w:tcW w:type="dxa" w:w="3888"/>
            <w:vAlign w:val="center"/>
            <w:shd w:fill="23364D"/>
            <w:tcMar>
              <w:top w:w="80" w:type="dxa"/>
              <w:start w:w="105" w:type="dxa"/>
              <w:bottom w:w="80" w:type="dxa"/>
              <w:end w:w="105" w:type="dxa"/>
            </w:tcMar>
          </w:tcPr>
          <w:p>
            <w:r>
              <w:t>Entries included in book</w:t>
            </w:r>
          </w:p>
        </w:tc>
        <w:tc>
          <w:tcPr>
            <w:tcW w:type="dxa" w:w="1944"/>
            <w:vAlign w:val="center"/>
            <w:shd w:fill="23364D"/>
            <w:tcMar>
              <w:top w:w="80" w:type="dxa"/>
              <w:start w:w="105" w:type="dxa"/>
              <w:bottom w:w="80" w:type="dxa"/>
              <w:end w:w="105" w:type="dxa"/>
            </w:tcMar>
          </w:tcPr>
          <w:p>
            <w:pPr>
              <w:pStyle w:val="TableText"/>
              <w:jc w:val="right"/>
            </w:pPr>
            <w:r>
              <w:rPr>
                <w:b/>
                <w:color w:val="FFFFFF"/>
              </w:rPr>
              <w:t>Book price</w:t>
            </w:r>
          </w:p>
        </w:tc>
        <w:tc>
          <w:tcPr>
            <w:tcW w:type="dxa" w:w="3960"/>
            <w:vAlign w:val="center"/>
            <w:shd w:fill="23364D"/>
            <w:tcMar>
              <w:top w:w="80" w:type="dxa"/>
              <w:start w:w="105" w:type="dxa"/>
              <w:bottom w:w="80" w:type="dxa"/>
              <w:end w:w="105" w:type="dxa"/>
            </w:tcMar>
          </w:tcPr>
          <w:p>
            <w:pPr>
              <w:pStyle w:val="TableText"/>
              <w:jc w:val="right"/>
            </w:pPr>
            <w:r>
              <w:rPr>
                <w:b/>
                <w:color w:val="FFFFFF"/>
              </w:rPr>
              <w:t>Estimated fee and export cost</w:t>
            </w:r>
          </w:p>
        </w:tc>
      </w:tr>
      <w:tr>
        <w:tc>
          <w:tcPr>
            <w:tcW w:type="dxa" w:w="3888"/>
            <w:vAlign w:val="center"/>
            <w:tcMar>
              <w:top w:w="80" w:type="dxa"/>
              <w:start w:w="105" w:type="dxa"/>
              <w:bottom w:w="80" w:type="dxa"/>
              <w:end w:w="105" w:type="dxa"/>
            </w:tcMar>
            <w:shd w:fill="FFFFFF"/>
          </w:tcPr>
          <w:p>
            <w:r>
              <w:t>0 to 99 entries</w:t>
            </w:r>
          </w:p>
        </w:tc>
        <w:tc>
          <w:tcPr>
            <w:tcW w:type="dxa" w:w="1944"/>
            <w:vAlign w:val="center"/>
            <w:tcMar>
              <w:top w:w="80" w:type="dxa"/>
              <w:start w:w="105" w:type="dxa"/>
              <w:bottom w:w="80" w:type="dxa"/>
              <w:end w:w="105" w:type="dxa"/>
            </w:tcMar>
            <w:shd w:fill="FFFFFF"/>
          </w:tcPr>
          <w:p>
            <w:pPr>
              <w:pStyle w:val="TableText"/>
              <w:jc w:val="right"/>
            </w:pPr>
            <w:r>
              <w:t>$15</w:t>
            </w:r>
          </w:p>
        </w:tc>
        <w:tc>
          <w:tcPr>
            <w:tcW w:type="dxa" w:w="3960"/>
            <w:vAlign w:val="center"/>
            <w:tcMar>
              <w:top w:w="80" w:type="dxa"/>
              <w:start w:w="105" w:type="dxa"/>
              <w:bottom w:w="80" w:type="dxa"/>
              <w:end w:w="105" w:type="dxa"/>
            </w:tcMar>
            <w:shd w:fill="FFFFFF"/>
          </w:tcPr>
          <w:p>
            <w:pPr>
              <w:pStyle w:val="TableText"/>
              <w:jc w:val="right"/>
            </w:pPr>
            <w:r>
              <w:t>$0.79</w:t>
            </w:r>
          </w:p>
        </w:tc>
      </w:tr>
      <w:tr>
        <w:tc>
          <w:tcPr>
            <w:tcW w:type="dxa" w:w="3888"/>
            <w:vAlign w:val="center"/>
            <w:tcMar>
              <w:top w:w="80" w:type="dxa"/>
              <w:start w:w="105" w:type="dxa"/>
              <w:bottom w:w="80" w:type="dxa"/>
              <w:end w:w="105" w:type="dxa"/>
            </w:tcMar>
            <w:shd w:fill="F2F6FA"/>
          </w:tcPr>
          <w:p>
            <w:r>
              <w:t>100 to 299 entries</w:t>
            </w:r>
          </w:p>
        </w:tc>
        <w:tc>
          <w:tcPr>
            <w:tcW w:type="dxa" w:w="1944"/>
            <w:vAlign w:val="center"/>
            <w:tcMar>
              <w:top w:w="80" w:type="dxa"/>
              <w:start w:w="105" w:type="dxa"/>
              <w:bottom w:w="80" w:type="dxa"/>
              <w:end w:w="105" w:type="dxa"/>
            </w:tcMar>
            <w:shd w:fill="F2F6FA"/>
          </w:tcPr>
          <w:p>
            <w:pPr>
              <w:pStyle w:val="TableText"/>
              <w:jc w:val="right"/>
            </w:pPr>
            <w:r>
              <w:t>$30</w:t>
            </w:r>
          </w:p>
        </w:tc>
        <w:tc>
          <w:tcPr>
            <w:tcW w:type="dxa" w:w="3960"/>
            <w:vAlign w:val="center"/>
            <w:tcMar>
              <w:top w:w="80" w:type="dxa"/>
              <w:start w:w="105" w:type="dxa"/>
              <w:bottom w:w="80" w:type="dxa"/>
              <w:end w:w="105" w:type="dxa"/>
            </w:tcMar>
            <w:shd w:fill="F2F6FA"/>
          </w:tcPr>
          <w:p>
            <w:pPr>
              <w:pStyle w:val="TableText"/>
              <w:jc w:val="right"/>
            </w:pPr>
            <w:r>
              <w:t>$1.22</w:t>
            </w:r>
          </w:p>
        </w:tc>
      </w:tr>
      <w:tr>
        <w:tc>
          <w:tcPr>
            <w:tcW w:type="dxa" w:w="3888"/>
            <w:vAlign w:val="center"/>
            <w:tcMar>
              <w:top w:w="80" w:type="dxa"/>
              <w:start w:w="105" w:type="dxa"/>
              <w:bottom w:w="80" w:type="dxa"/>
              <w:end w:w="105" w:type="dxa"/>
            </w:tcMar>
            <w:shd w:fill="FFFFFF"/>
          </w:tcPr>
          <w:p>
            <w:r>
              <w:t>300 or more entries</w:t>
            </w:r>
          </w:p>
        </w:tc>
        <w:tc>
          <w:tcPr>
            <w:tcW w:type="dxa" w:w="1944"/>
            <w:vAlign w:val="center"/>
            <w:tcMar>
              <w:top w:w="80" w:type="dxa"/>
              <w:start w:w="105" w:type="dxa"/>
              <w:bottom w:w="80" w:type="dxa"/>
              <w:end w:w="105" w:type="dxa"/>
            </w:tcMar>
            <w:shd w:fill="FFFFFF"/>
          </w:tcPr>
          <w:p>
            <w:pPr>
              <w:pStyle w:val="TableText"/>
              <w:jc w:val="right"/>
            </w:pPr>
            <w:r>
              <w:t>$79</w:t>
            </w:r>
          </w:p>
        </w:tc>
        <w:tc>
          <w:tcPr>
            <w:tcW w:type="dxa" w:w="3960"/>
            <w:vAlign w:val="center"/>
            <w:tcMar>
              <w:top w:w="80" w:type="dxa"/>
              <w:start w:w="105" w:type="dxa"/>
              <w:bottom w:w="80" w:type="dxa"/>
              <w:end w:w="105" w:type="dxa"/>
            </w:tcMar>
            <w:shd w:fill="FFFFFF"/>
          </w:tcPr>
          <w:p>
            <w:pPr>
              <w:pStyle w:val="TableText"/>
              <w:jc w:val="right"/>
            </w:pPr>
            <w:r>
              <w:t>$2.64</w:t>
            </w:r>
          </w:p>
        </w:tc>
      </w:tr>
    </w:tbl>
    <w:p>
      <w:pPr>
        <w:pStyle w:val="AfterTable"/>
      </w:pPr>
    </w:p>
    <w:p>
      <w:pPr/>
      <w:r>
        <w:t>The cost column applies the existing planning assumption of 2.9% plus $0.30 for a standalone card purchase and a $0.05 export allowance, rounded per sale. It excludes storage, support, refunds, and general operating costs. The Financial Summary now models book mixes at $15, $30, and $79 rather than assuming every book sells for $79. These are test prices, not observed demand. [7]</w:t>
      </w:r>
    </w:p>
    <w:p>
      <w:pPr>
        <w:pStyle w:val="Heading1"/>
      </w:pPr>
      <w:r>
        <w:t>Event availability and link lifecycle</w:t>
      </w:r>
    </w:p>
    <w:p>
      <w:pPr/>
      <w:r>
        <w:t>A dated event can start accepting contributions no earlier than six calendar months before its event date. Notes, cards and photos remain open through day 90 after the event. After day 90, a wedding keeps a gift-only route through 12 calendar months after the event; the book gets no new entries. For other events, gift creation closes at day 90. After the final close, the same QR and link show a closed page, with no new cards or gift attempts. The host retains private CardVault access and export. Use the event's chosen time zone and display the deadlines at setup. An undated one-off occasion needs a host-selected close date no more than 90 days after publication so its link cannot stay active indefinitely.</w:t>
      </w:r>
    </w:p>
    <w:p>
      <w:pPr/>
      <w:r>
        <w:t>Once a contribution or gift attempt exists, the host cannot reset the event date or closing window to extend the public URL. Revocation can close access earlier. Existing payment attempts still receive provider callbacks and reconciliation after public intake closes.</w:t>
      </w:r>
    </w:p>
    <w:p>
      <w:pPr>
        <w:pStyle w:val="Heading1"/>
      </w:pPr>
      <w:r>
        <w:t>CardVault storage</w:t>
      </w:r>
    </w:p>
    <w:p>
      <w:pPr>
        <w:pStyle w:val="Question"/>
      </w:pPr>
      <w:r>
        <w:t>Do we have unlimited storage for event memories?</w:t>
      </w:r>
    </w:p>
    <w:p>
      <w:pPr/>
      <w:r>
        <w:t>No. The currently modeled Supabase Pro plan includes 100 GB of file storage, then charges for additional storage. It also meters data sent to visitors, which matters when GIFs are replayed. [8, 9]</w:t>
      </w:r>
    </w:p>
    <w:p>
      <w:pPr/>
      <w:r>
        <w:t>If 300 guests each upload one 5 MB GIF, one event uses about 1.5 GB before thumbnails or exports. One hundred events at that size would use about 150 GB. Control growth with file limits, compression, private storage and per-event metering. Guest contributions close at day 90, but the host keeps private CardVault access and a basic export after the public link closes. Publish a separate storage retention and deletion policy before promising indefinite media storage.</w:t>
      </w:r>
    </w:p>
    <w:p>
      <w:pPr>
        <w:pStyle w:val="Heading1"/>
      </w:pPr>
      <w:r>
        <w:t>Monthly expenses</w:t>
      </w:r>
    </w:p>
    <w:p>
      <w:pPr>
        <w:pStyle w:val="Question"/>
      </w:pPr>
      <w:r>
        <w:t>Why does the model show about $700 when the software looks closer to $70?</w:t>
      </w:r>
    </w:p>
    <w:p>
      <w:pPr>
        <w:keepNext/>
      </w:pPr>
      <w:r>
        <w:t>The low-volume software estimate is $57 per month, or $77 with the upgraded email plan. The roughly $700 figure comes from a separate, hypothetical free-launch month with paid outreach and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41"/>
        <w:gridCol w:w="2851"/>
      </w:tblGrid>
      <w:tr>
        <w:trPr>
          <w:tblHeader/>
        </w:trPr>
        <w:tc>
          <w:tcPr>
            <w:tcW w:type="dxa" w:w="6941"/>
            <w:vAlign w:val="center"/>
            <w:shd w:fill="23364D"/>
            <w:tcMar>
              <w:top w:w="80" w:type="dxa"/>
              <w:start w:w="105" w:type="dxa"/>
              <w:bottom w:w="80" w:type="dxa"/>
              <w:end w:w="105" w:type="dxa"/>
            </w:tcMar>
          </w:tcPr>
          <w:p>
            <w:pPr>
              <w:pStyle w:val="TableText"/>
            </w:pPr>
            <w:r>
              <w:rPr>
                <w:b/>
                <w:color w:val="FFFFFF"/>
              </w:rPr>
              <w:t>Expense in the free-launch example</w:t>
            </w:r>
          </w:p>
        </w:tc>
        <w:tc>
          <w:tcPr>
            <w:tcW w:type="dxa" w:w="2851"/>
            <w:vAlign w:val="center"/>
            <w:shd w:fill="23364D"/>
            <w:tcMar>
              <w:top w:w="80" w:type="dxa"/>
              <w:start w:w="105" w:type="dxa"/>
              <w:bottom w:w="80" w:type="dxa"/>
              <w:end w:w="105" w:type="dxa"/>
            </w:tcMar>
          </w:tcPr>
          <w:p>
            <w:pPr>
              <w:pStyle w:val="TableText"/>
              <w:jc w:val="right"/>
            </w:pPr>
            <w:r>
              <w:rPr>
                <w:b/>
                <w:color w:val="FFFFFF"/>
              </w:rPr>
              <w:t>Monthly amount</w:t>
            </w:r>
          </w:p>
        </w:tc>
      </w:tr>
      <w:tr>
        <w:tc>
          <w:tcPr>
            <w:tcW w:type="dxa" w:w="6941"/>
            <w:vAlign w:val="center"/>
            <w:tcMar>
              <w:top w:w="80" w:type="dxa"/>
              <w:start w:w="105" w:type="dxa"/>
              <w:bottom w:w="80" w:type="dxa"/>
              <w:end w:w="105" w:type="dxa"/>
            </w:tcMar>
            <w:shd w:fill="FFFFFF"/>
          </w:tcPr>
          <w:p>
            <w:pPr>
              <w:pStyle w:val="TableText"/>
            </w:pPr>
            <w:r>
              <w:t>Software</w:t>
            </w:r>
          </w:p>
        </w:tc>
        <w:tc>
          <w:tcPr>
            <w:tcW w:type="dxa" w:w="2851"/>
            <w:vAlign w:val="center"/>
            <w:tcMar>
              <w:top w:w="80" w:type="dxa"/>
              <w:start w:w="105" w:type="dxa"/>
              <w:bottom w:w="80" w:type="dxa"/>
              <w:end w:w="105" w:type="dxa"/>
            </w:tcMar>
            <w:shd w:fill="FFFFFF"/>
          </w:tcPr>
          <w:p>
            <w:pPr>
              <w:pStyle w:val="TableText"/>
              <w:jc w:val="right"/>
            </w:pPr>
            <w:r>
              <w:t>$57.00</w:t>
            </w:r>
          </w:p>
        </w:tc>
      </w:tr>
      <w:tr>
        <w:tc>
          <w:tcPr>
            <w:tcW w:type="dxa" w:w="6941"/>
            <w:vAlign w:val="center"/>
            <w:tcMar>
              <w:top w:w="80" w:type="dxa"/>
              <w:start w:w="105" w:type="dxa"/>
              <w:bottom w:w="80" w:type="dxa"/>
              <w:end w:w="105" w:type="dxa"/>
            </w:tcMar>
            <w:shd w:fill="F2F6FA"/>
          </w:tcPr>
          <w:p>
            <w:pPr>
              <w:pStyle w:val="TableText"/>
            </w:pPr>
            <w:r>
              <w:t>Outreach</w:t>
            </w:r>
          </w:p>
        </w:tc>
        <w:tc>
          <w:tcPr>
            <w:tcW w:type="dxa" w:w="2851"/>
            <w:vAlign w:val="center"/>
            <w:tcMar>
              <w:top w:w="80" w:type="dxa"/>
              <w:start w:w="105" w:type="dxa"/>
              <w:bottom w:w="80" w:type="dxa"/>
              <w:end w:w="105" w:type="dxa"/>
            </w:tcMar>
            <w:shd w:fill="F2F6FA"/>
          </w:tcPr>
          <w:p>
            <w:pPr>
              <w:pStyle w:val="TableText"/>
              <w:jc w:val="right"/>
            </w:pPr>
            <w:r>
              <w:t>$500.00</w:t>
            </w:r>
          </w:p>
        </w:tc>
      </w:tr>
      <w:tr>
        <w:tc>
          <w:tcPr>
            <w:tcW w:type="dxa" w:w="6941"/>
            <w:vAlign w:val="center"/>
            <w:tcMar>
              <w:top w:w="80" w:type="dxa"/>
              <w:start w:w="105" w:type="dxa"/>
              <w:bottom w:w="80" w:type="dxa"/>
              <w:end w:w="105" w:type="dxa"/>
            </w:tcMar>
            <w:shd w:fill="FFFFFF"/>
          </w:tcPr>
          <w:p>
            <w:pPr>
              <w:pStyle w:val="TableText"/>
            </w:pPr>
            <w:r>
              <w:t>Paid support</w:t>
            </w:r>
          </w:p>
        </w:tc>
        <w:tc>
          <w:tcPr>
            <w:tcW w:type="dxa" w:w="2851"/>
            <w:vAlign w:val="center"/>
            <w:tcMar>
              <w:top w:w="80" w:type="dxa"/>
              <w:start w:w="105" w:type="dxa"/>
              <w:bottom w:w="80" w:type="dxa"/>
              <w:end w:w="105" w:type="dxa"/>
            </w:tcMar>
            <w:shd w:fill="FFFFFF"/>
          </w:tcPr>
          <w:p>
            <w:pPr>
              <w:pStyle w:val="TableText"/>
              <w:jc w:val="right"/>
            </w:pPr>
            <w:r>
              <w:t>$150.00</w:t>
            </w:r>
          </w:p>
        </w:tc>
      </w:tr>
      <w:tr>
        <w:tc>
          <w:tcPr>
            <w:tcW w:type="dxa" w:w="6941"/>
            <w:vAlign w:val="center"/>
            <w:tcMar>
              <w:top w:w="80" w:type="dxa"/>
              <w:start w:w="105" w:type="dxa"/>
              <w:bottom w:w="80" w:type="dxa"/>
              <w:end w:w="105" w:type="dxa"/>
            </w:tcMar>
            <w:shd w:fill="F2F6FA"/>
          </w:tcPr>
          <w:p>
            <w:pPr>
              <w:pStyle w:val="TableText"/>
            </w:pPr>
            <w:r>
              <w:t>Direct cost of 500 free cards</w:t>
            </w:r>
          </w:p>
        </w:tc>
        <w:tc>
          <w:tcPr>
            <w:tcW w:type="dxa" w:w="2851"/>
            <w:vAlign w:val="center"/>
            <w:tcMar>
              <w:top w:w="80" w:type="dxa"/>
              <w:start w:w="105" w:type="dxa"/>
              <w:bottom w:w="80" w:type="dxa"/>
              <w:end w:w="105" w:type="dxa"/>
            </w:tcMar>
            <w:shd w:fill="F2F6FA"/>
          </w:tcPr>
          <w:p>
            <w:pPr>
              <w:pStyle w:val="TableText"/>
              <w:jc w:val="right"/>
            </w:pPr>
            <w:r>
              <w:t>about $9.58</w:t>
            </w:r>
          </w:p>
        </w:tc>
      </w:tr>
      <w:tr>
        <w:tc>
          <w:tcPr>
            <w:tcW w:type="dxa" w:w="6941"/>
            <w:vAlign w:val="center"/>
            <w:tcMar>
              <w:top w:w="80" w:type="dxa"/>
              <w:start w:w="105" w:type="dxa"/>
              <w:bottom w:w="80" w:type="dxa"/>
              <w:end w:w="105" w:type="dxa"/>
            </w:tcMar>
            <w:shd w:fill="FFFFFF"/>
          </w:tcPr>
          <w:p>
            <w:pPr>
              <w:pStyle w:val="TableText"/>
            </w:pPr>
            <w:r>
              <w:rPr>
                <w:b/>
              </w:rPr>
              <w:t>Total with no revenue</w:t>
            </w:r>
          </w:p>
        </w:tc>
        <w:tc>
          <w:tcPr>
            <w:tcW w:type="dxa" w:w="2851"/>
            <w:vAlign w:val="center"/>
            <w:tcMar>
              <w:top w:w="80" w:type="dxa"/>
              <w:start w:w="105" w:type="dxa"/>
              <w:bottom w:w="80" w:type="dxa"/>
              <w:end w:w="105" w:type="dxa"/>
            </w:tcMar>
            <w:shd w:fill="FFFFFF"/>
          </w:tcPr>
          <w:p>
            <w:pPr>
              <w:pStyle w:val="TableText"/>
              <w:jc w:val="right"/>
            </w:pPr>
            <w:r>
              <w:rPr>
                <w:b/>
              </w:rPr>
              <w:t>$716.58</w:t>
            </w:r>
          </w:p>
        </w:tc>
      </w:tr>
    </w:tbl>
    <w:p>
      <w:pPr>
        <w:pStyle w:val="AfterTable"/>
      </w:pPr>
    </w:p>
    <w:p>
      <w:pPr/>
      <w:r>
        <w:t>The current three-month bootstrap budget has no paid-support line. It budgets $500 to $1,500 of outreach across three months, not necessarily $500 every month. With neither paid outreach nor paid support, that example month would cost about $67 to $87, depending on the email plan, excluding one-time engineering and legal costs. The monthly scenarios should be labeled or revised to match the bootstrap approach. The card cost above is rounded from the model’s unrounded per-card assumption.</w:t>
      </w:r>
    </w:p>
    <w:p>
      <w:pPr>
        <w:pStyle w:val="Heading1"/>
      </w:pPr>
      <w:r>
        <w:t>Artwork and AI cards</w:t>
      </w:r>
    </w:p>
    <w:p>
      <w:pPr>
        <w:pStyle w:val="Question"/>
      </w:pPr>
      <w:r>
        <w:t>Why does artwork appear to cost hundreds or thousands of dollars?</w:t>
      </w:r>
    </w:p>
    <w:p>
      <w:pPr/>
      <w:r>
        <w:t>Those figures are for optional commissioned human illustrations, not the cost of one AI-generated card. The current pilot cash budget assigns commissioned illustrations $0.</w:t>
      </w:r>
    </w:p>
    <w:p>
      <w:pPr/>
      <w:r>
        <w:t>MVP proposal. Let people customize templates with their own words, colors, fonts, photo, and optional GIF. Leave commissioned art and AI image generation out of the first release. Optional AI help rewriting a note can remain a small feature, but the card editor should work fully without it.</w:t>
      </w:r>
    </w:p>
    <w:p>
      <w:pPr>
        <w:pStyle w:val="Heading1"/>
      </w:pPr>
      <w:r>
        <w:t>Sources</w:t>
      </w:r>
    </w:p>
    <w:p>
      <w:pPr>
        <w:pStyle w:val="Source"/>
      </w:pPr>
      <w:hyperlink r:id="rId9">
        <w:r>
          <w:rPr>
            <w:color w:val="154978"/>
            <w:u w:val="single"/>
          </w:rPr>
          <w:t>[1] OWASP Top 10 2025</w:t>
        </w:r>
      </w:hyperlink>
      <w:r>
        <w:t xml:space="preserve">    |    </w:t>
      </w:r>
      <w:hyperlink r:id="rId10">
        <w:r>
          <w:rPr>
            <w:color w:val="154978"/>
            <w:u w:val="single"/>
          </w:rPr>
          <w:t>[2] OWASP File Upload Cheat Sheet</w:t>
        </w:r>
      </w:hyperlink>
      <w:r>
        <w:t xml:space="preserve">    |    </w:t>
      </w:r>
      <w:hyperlink r:id="rId11">
        <w:r>
          <w:rPr>
            <w:color w:val="154978"/>
            <w:u w:val="single"/>
          </w:rPr>
          <w:t>[3] U.S. Copyright Office Fair Use FAQ</w:t>
        </w:r>
      </w:hyperlink>
    </w:p>
    <w:p>
      <w:pPr>
        <w:pStyle w:val="Source"/>
      </w:pPr>
      <w:hyperlink r:id="rId12">
        <w:r>
          <w:rPr>
            <w:color w:val="154978"/>
            <w:u w:val="single"/>
          </w:rPr>
          <w:t>[4] Spotify Developer Policy</w:t>
        </w:r>
      </w:hyperlink>
      <w:r>
        <w:t xml:space="preserve">    |    </w:t>
      </w:r>
      <w:hyperlink r:id="rId13">
        <w:r>
          <w:rPr>
            <w:color w:val="154978"/>
            <w:u w:val="single"/>
          </w:rPr>
          <w:t>[5] GIPHY API documentation</w:t>
        </w:r>
      </w:hyperlink>
      <w:r>
        <w:t xml:space="preserve">    |    </w:t>
      </w:r>
      <w:hyperlink r:id="rId14">
        <w:r>
          <w:rPr>
            <w:color w:val="154978"/>
            <w:u w:val="single"/>
          </w:rPr>
          <w:t>[6] GIPHY API Terms of Service</w:t>
        </w:r>
      </w:hyperlink>
    </w:p>
    <w:p>
      <w:pPr>
        <w:pStyle w:val="Source"/>
      </w:pPr>
      <w:r>
        <w:t>[11] FTC guidance on clear disclosures — https://www.ftc.gov/business-guidance/resources/advertising-faqs-guide-small-business</w:t>
      </w:r>
    </w:p>
    <w:p>
      <w:pPr>
        <w:pStyle w:val="Source"/>
      </w:pPr>
      <w:r>
        <w:t>[10] FTC payment-app guidance — https://consumer.ftc.gov/articles/mobile-payment-apps-how-avoid-scam-when-you-use-one</w:t>
      </w:r>
    </w:p>
    <w:p>
      <w:pPr>
        <w:pStyle w:val="Source"/>
      </w:pPr>
      <w:hyperlink r:id="rId15">
        <w:r>
          <w:rPr>
            <w:color w:val="154978"/>
            <w:u w:val="single"/>
          </w:rPr>
          <w:t>[7] Stripe payments pricing</w:t>
        </w:r>
      </w:hyperlink>
      <w:r>
        <w:t xml:space="preserve">    |    </w:t>
      </w:r>
      <w:hyperlink r:id="rId16">
        <w:r>
          <w:rPr>
            <w:color w:val="154978"/>
            <w:u w:val="single"/>
          </w:rPr>
          <w:t>[8] Supabase storage usage and pricing</w:t>
        </w:r>
      </w:hyperlink>
      <w:r>
        <w:t xml:space="preserve">    |    </w:t>
      </w:r>
      <w:hyperlink r:id="rId17">
        <w:r>
          <w:rPr>
            <w:color w:val="154978"/>
            <w:u w:val="single"/>
          </w:rPr>
          <w:t>[9] Supabase egress usage and pricing</w:t>
        </w:r>
      </w:hyperlink>
    </w:p>
    <w:p>
      <w:pPr>
        <w:pStyle w:val="Source"/>
      </w:pPr>
      <w:r>
        <w:t>Internal cost figures and scenarios: DigitalCardBox Financial Summary, current project draft.</w:t>
      </w:r>
    </w:p>
    <w:sectPr w:rsidR="00FC693F" w:rsidRPr="0006063C" w:rsidSect="00034616">
      <w:footerReference w:type="default" r:id="rId18"/>
      <w:pgSz w:w="12240" w:h="15840"/>
      <w:pgMar w:top="1037" w:right="1181" w:bottom="979"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 xml:space="preserve">Review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22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20" w:after="60"/>
    </w:pPr>
    <w:rPr>
      <w:b/>
      <w:color w:val="000000"/>
    </w:rPr>
  </w:style>
  <w:style w:type="paragraph" w:customStyle="1" w:styleId="AfterTable">
    <w:name w:val="After Table"/>
    <w:pPr>
      <w:spacing w:after="80"/>
    </w:pPr>
    <w:rPr>
      <w:sz w:val="4"/>
    </w:rPr>
  </w:style>
  <w:style w:type="paragraph" w:customStyle="1" w:styleId="TableText">
    <w:name w:val="Table Text"/>
    <w:basedOn w:val="Normal"/>
    <w:pPr>
      <w:spacing w:after="0" w:line="259" w:lineRule="auto"/>
    </w:pPr>
    <w:rPr>
      <w:sz w:val="18"/>
    </w:rPr>
  </w:style>
  <w:style w:type="paragraph" w:customStyle="1" w:styleId="Source">
    <w:name w:val="Source"/>
    <w:basedOn w:val="Normal"/>
    <w:pPr>
      <w:spacing w:after="6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op10.owasp.org/2025/en/" TargetMode="External"/><Relationship Id="rId10" Type="http://schemas.openxmlformats.org/officeDocument/2006/relationships/hyperlink" Target="https://cheatsheetseries.owasp.org/cheatsheets/File_Upload_Cheat_Sheet.html" TargetMode="External"/><Relationship Id="rId11" Type="http://schemas.openxmlformats.org/officeDocument/2006/relationships/hyperlink" Target="https://www.copyright.gov/help/faq/faq-fairuse.html" TargetMode="External"/><Relationship Id="rId12" Type="http://schemas.openxmlformats.org/officeDocument/2006/relationships/hyperlink" Target="https://developer.spotify.com/policy" TargetMode="External"/><Relationship Id="rId13" Type="http://schemas.openxmlformats.org/officeDocument/2006/relationships/hyperlink" Target="https://developers.giphy.com/docs/api/" TargetMode="External"/><Relationship Id="rId14" Type="http://schemas.openxmlformats.org/officeDocument/2006/relationships/hyperlink" Target="https://support.giphy.com/hc/en-us/articles/360028134111-GIPHY-API-Terms-of-Service" TargetMode="External"/><Relationship Id="rId15" Type="http://schemas.openxmlformats.org/officeDocument/2006/relationships/hyperlink" Target="https://stripe.com/pricing" TargetMode="External"/><Relationship Id="rId16" Type="http://schemas.openxmlformats.org/officeDocument/2006/relationships/hyperlink" Target="https://supabase.com/docs/guides/platform/manage-your-usage/storage-size" TargetMode="External"/><Relationship Id="rId17" Type="http://schemas.openxmlformats.org/officeDocument/2006/relationships/hyperlink" Target="https://supabase.com/docs/guides/platform/manage-your-usage/egres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Event Gifting Questions and Draft Answers</dc:title>
  <dc:subject>Product decisions and current cost questions for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