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 xml:space="preserve">13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October: customers, event guests, events, submissions/consent, AI usage, destination versions, external gift activity, book/export metadata and audit/outbox. Provider payment and recipient-account tables are later gated extensions.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 xml:space="preserve">Event may publish with gifts disabled; guest gift actions require a confirmed enabled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 xml:space="preserve">The QR encodes only the stable event URL, never a wallet identifier. Server policy reads the event time zone and permitted window on every request, so links and QR close together. A note-only event may publish without gifts.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created → handoff_issued; guest_reported remains unconfirmed; owning host may append host_confirmed or host_confirmation_revoked; cancellation is recorded separately.</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Event readiness and optional route configuration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Host only; gifts optional, and enabled gift actions require a confirmed route.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w="0" w:type="auto"/>
        <w:tblBorders>
          <w:top w:val="single" w:sz="4"/>
          <w:bottom w:val="single" w:sz="4"/>
          <w:insideH w:val="single" w:sz="4"/>
        </w:tblBorders>
      </w:tblPr>
      <w:tr>
        <w:trPr>
          <w:tblHeader/>
        </w:trPr>
        <w:tc>
          <w:tcPr>
            <w:tcW w:w="0" w:type="auto"/>
          </w:tcPr>
          <w:p>
            <w:r>
              <w:t xml:space="preserve">October table</w:t>
            </w:r>
          </w:p>
        </w:tc>
        <w:tc>
          <w:tcPr>
            <w:tcW w:w="0" w:type="auto"/>
          </w:tcPr>
          <w:p>
            <w:r>
              <w:t xml:space="preserve">Key columns (shared IDs/timestamps per canonical spec)</w:t>
            </w:r>
          </w:p>
        </w:tc>
        <w:tc>
          <w:tcPr>
            <w:tcW w:w="0" w:type="auto"/>
          </w:tcPr>
          <w:p>
            <w:r>
              <w:t xml:space="preserve">Constraint / purpose</w:t>
            </w:r>
          </w:p>
        </w:tc>
      </w:tr>
      <w:tr>
        <w:tc>
          <w:tcPr>
            <w:tcW w:w="0" w:type="auto"/>
          </w:tcPr>
          <w:p>
            <w:r>
              <w:t xml:space="preserve">identity.customers</w:t>
            </w:r>
          </w:p>
        </w:tc>
        <w:tc>
          <w:tcPr>
            <w:tcW w:w="0" w:type="auto"/>
          </w:tcPr>
          <w:p>
            <w:r>
              <w:t xml:space="preserve">id, auth_issuer, auth_subject, email, email_verified_at?, display_name, account_role, disabled_at?</w:t>
            </w:r>
          </w:p>
        </w:tc>
        <w:tc>
          <w:tcPr>
            <w:tcW w:w="0" w:type="auto"/>
          </w:tcPr>
          <w:p>
            <w:r>
              <w:t xml:space="preserve">PK id; UQ (auth_issuer, auth_subject). Role host or separately provisioned operator; provider-synchronized email is for notifications, not an ownership key. No passwords/MFA secrets.</w:t>
            </w:r>
          </w:p>
        </w:tc>
      </w:tr>
      <w:tr>
        <w:tc>
          <w:tcPr>
            <w:tcW w:w="0" w:type="auto"/>
          </w:tcPr>
          <w:p>
            <w:r>
              <w:t xml:space="preserve">identity.event_guests</w:t>
            </w:r>
          </w:p>
        </w:tc>
        <w:tc>
          <w:tcPr>
            <w:tcW w:w="0" w:type="auto"/>
          </w:tcPr>
          <w:p>
            <w:r>
              <w:t xml:space="preserve">id, event_id, display_name?, erased_at?</w:t>
            </w:r>
          </w:p>
        </w:tc>
        <w:tc>
          <w:tcPr>
            <w:tcW w:w="0" w:type="auto"/>
          </w:tcPr>
          <w:p>
            <w:r>
              <w:t xml:space="preserve">PK id; FK event; UQ (event_id, id). The only guest profile; no global guest list or matching by email/name. Separate browsers may be separate anonymous guests; this is not a verified person count.</w:t>
            </w:r>
          </w:p>
        </w:tc>
      </w:tr>
      <w:tr>
        <w:tc>
          <w:tcPr>
            <w:tcW w:w="0" w:type="auto"/>
          </w:tcPr>
          <w:p>
            <w:r>
              <w:t xml:space="preserve">identity.guest_sessions</w:t>
            </w:r>
          </w:p>
        </w:tc>
        <w:tc>
          <w:tcPr>
            <w:tcW w:w="0" w:type="auto"/>
          </w:tcPr>
          <w:p>
            <w:r>
              <w:t xml:space="preserve">id, event_id, guest_id, share_link_id, token_hash, expires_at, revoked_at?</w:t>
            </w:r>
          </w:p>
        </w:tc>
        <w:tc>
          <w:tcPr>
            <w:tcW w:w="0" w:type="auto"/>
          </w:tcPr>
          <w:p>
            <w:r>
              <w:t xml:space="preserve">PK id; UQ token_hash; same-event composite FKs to guest and share link. Store only token hash; bearer secret stays in a secure cookie. Index expiry. Durable content references guest, so deleting sessions cannot erase accepted data.</w:t>
            </w:r>
          </w:p>
        </w:tc>
      </w:tr>
      <w:tr>
        <w:tc>
          <w:tcPr>
            <w:tcW w:w="0" w:type="auto"/>
          </w:tcPr>
          <w:p>
            <w:r>
              <w:t xml:space="preserve">events.events</w:t>
            </w:r>
          </w:p>
        </w:tc>
        <w:tc>
          <w:tcPr>
            <w:tcW w:w="0" w:type="auto"/>
          </w:tcPr>
          <w:p>
            <w:r>
              <w:t xml:space="preserve">id, owner_customer_id, title, recipient_display_name, occasion_type, lifecycle_kind, event_date?, timezone, opens_at, contributions_close_at, gifts_close_at, published_at?, revoked_at?, window_locked_at?, policy_version</w:t>
            </w:r>
          </w:p>
        </w:tc>
        <w:tc>
          <w:tcPr>
            <w:tcW w:w="0" w:type="auto"/>
          </w:tcPr>
          <w:p>
            <w:r>
              <w:t xml:space="preserve">PK id; FK customer; index (owner_customer_id, created_at, id). Kind wedding/dated_other/undated; occasion labels do not grant wedding extensions. Check ordered windows and date/kind consistency. Events alone derives deadlines.</w:t>
            </w:r>
          </w:p>
        </w:tc>
      </w:tr>
      <w:tr>
        <w:tc>
          <w:tcPr>
            <w:tcW w:w="0" w:type="auto"/>
          </w:tcPr>
          <w:p>
            <w:r>
              <w:t xml:space="preserve">events.share_links</w:t>
            </w:r>
          </w:p>
        </w:tc>
        <w:tc>
          <w:tcPr>
            <w:tcW w:w="0" w:type="auto"/>
          </w:tcPr>
          <w:p>
            <w:r>
              <w:t xml:space="preserve">id, event_id, generation, token_hash, token_ciphertext, encryption_key_version, revoked_at?</w:t>
            </w:r>
          </w:p>
        </w:tc>
        <w:tc>
          <w:tcPr>
            <w:tcW w:w="0" w:type="auto"/>
          </w:tcPr>
          <w:p>
            <w:r>
              <w:t xml:space="preserve">PK id; UQ token_hash, (event_id, generation), (event_id, id); partial UQ one unrevoked link per event. Encrypt recoverable secret for repeated host copy/QR; resolve URLs by hash. Rotation revokes old links and their guest sessions.</w:t>
            </w:r>
          </w:p>
        </w:tc>
      </w:tr>
      <w:tr>
        <w:tc>
          <w:tcPr>
            <w:tcW w:w="0" w:type="auto"/>
          </w:tcPr>
          <w:p>
            <w:r>
              <w:t xml:space="preserve">cards.submissions</w:t>
            </w:r>
          </w:p>
        </w:tc>
        <w:tc>
          <w:tcPr>
            <w:tcW w:w="0" w:type="auto"/>
          </w:tcPr>
          <w:p>
            <w:r>
              <w:t xml:space="preserve">id, event_id, guest_id, kind, text, template_key?, template_version?, style_json?, submitted_at?, content_state, removed_at?</w:t>
            </w:r>
          </w:p>
        </w:tc>
        <w:tc>
          <w:tcPr>
            <w:tcW w:w="0" w:type="auto"/>
          </w:tcPr>
          <w:p>
            <w:r>
              <w:t xml:space="preserve">PK id; same-event guest FK; UQ (event_id, id). Kind note/card; state draft/submitted/hidden/removed. Template/version required for styled card. One submission is one book entry; no required gift reference. Index (event_id, submitted_at, id).</w:t>
            </w:r>
          </w:p>
        </w:tc>
      </w:tr>
      <w:tr>
        <w:tc>
          <w:tcPr>
            <w:tcW w:w="0" w:type="auto"/>
          </w:tcPr>
          <w:p>
            <w:r>
              <w:t xml:space="preserve">cards.media_assets</w:t>
            </w:r>
          </w:p>
        </w:tc>
        <w:tc>
          <w:tcPr>
            <w:tcW w:w="0" w:type="auto"/>
          </w:tcPr>
          <w:p>
            <w:r>
              <w:t xml:space="preserve">id, event_id, guest_id, submission_id?, object_key, mime_type, byte_size, width, height, scan_state, deleted_at?</w:t>
            </w:r>
          </w:p>
        </w:tc>
        <w:tc>
          <w:tcPr>
            <w:tcW w:w="0" w:type="auto"/>
          </w:tcPr>
          <w:p>
            <w:r>
              <w:t xml:space="preserve">PK id; UQ object_key; same-event guest/submission FKs. Partial UQ submission_id when attached and not deleted enforces one photo. Positive bounded size/dimensions, allowlisted type, clean guest-owned attachment only. Private keys, not file bytes or signed URLs.</w:t>
            </w:r>
          </w:p>
        </w:tc>
      </w:tr>
      <w:tr>
        <w:tc>
          <w:tcPr>
            <w:tcW w:w="0" w:type="auto"/>
          </w:tcPr>
          <w:p>
            <w:r>
              <w:t xml:space="preserve">cards.consent_events</w:t>
            </w:r>
          </w:p>
        </w:tc>
        <w:tc>
          <w:tcPr>
            <w:tcW w:w="0" w:type="auto"/>
          </w:tcPr>
          <w:p>
            <w:r>
              <w:t xml:space="preserve">id, event_id, submission_id, sequence, guest_id?, choice, wording_version, recorded_at</w:t>
            </w:r>
          </w:p>
        </w:tc>
        <w:tc>
          <w:tcPr>
            <w:tcW w:w="0" w:type="auto"/>
          </w:tcPr>
          <w:p>
            <w:r>
              <w:t xml:space="preserve">PK id; UQ (submission_id, sequence); same-event submission/actor FKs. Choice private/book_allowed/withdrawn. Latest ordered event is authoritative; explicit choice required, missing consent denies book inclusion. No duplicate consent booleans in each source table.</w:t>
            </w:r>
          </w:p>
        </w:tc>
      </w:tr>
      <w:tr>
        <w:tc>
          <w:tcPr>
            <w:tcW w:w="0" w:type="auto"/>
          </w:tcPr>
          <w:p>
            <w:r>
              <w:t xml:space="preserve">cards.moderation_actions</w:t>
            </w:r>
          </w:p>
        </w:tc>
        <w:tc>
          <w:tcPr>
            <w:tcW w:w="0" w:type="auto"/>
          </w:tcPr>
          <w:p>
            <w:r>
              <w:t xml:space="preserve">id, event_id, submission_id, sequence, actor_customer_id, action, reason_code?, recorded_at</w:t>
            </w:r>
          </w:p>
        </w:tc>
        <w:tc>
          <w:tcPr>
            <w:tcW w:w="0" w:type="auto"/>
          </w:tcPr>
          <w:p>
            <w:r>
              <w:t xml:space="preserve">PK id; UQ (submission_id, sequence); scoped submission FK, customer FK. Append hide/restore/remove evidence while atomically changing submissions.content_state as indexed current state. No private text in reason codes.</w:t>
            </w:r>
          </w:p>
        </w:tc>
      </w:tr>
      <w:tr>
        <w:tc>
          <w:tcPr>
            <w:tcW w:w="0" w:type="auto"/>
          </w:tcPr>
          <w:p>
            <w:r>
              <w:t xml:space="preserve">ai.requests</w:t>
            </w:r>
          </w:p>
        </w:tc>
        <w:tc>
          <w:tcPr>
            <w:tcW w:w="0" w:type="auto"/>
          </w:tcPr>
          <w:p>
            <w:r>
              <w:t xml:space="preserve">id, event_id, guest_id, request_key, kind, prompt_version, model, status, input_tokens, output_tokens, image_count, estimated_cost_micro_units?, cost_currency?, completed_at?, error_code?</w:t>
            </w:r>
          </w:p>
        </w:tc>
        <w:tc>
          <w:tcPr>
            <w:tcW w:w="0" w:type="auto"/>
          </w:tcPr>
          <w:p>
            <w:r>
              <w:t xml:space="preserve">PK id; same-event guest FK; UQ (event_id, guest_id, request_key). Minimal usage/outcome metadata; optional spend estimate uses millionths of currency units to retain sub-cent precision. No durable private prompt/suggestion copies; guest-approved text belongs to Cards. Art extends this only after its gate.</w:t>
            </w:r>
          </w:p>
        </w:tc>
      </w:tr>
      <w:tr>
        <w:tc>
          <w:tcPr>
            <w:tcW w:w="0" w:type="auto"/>
          </w:tcPr>
          <w:p>
            <w:r>
              <w:t xml:space="preserve">ai.usage_buckets</w:t>
            </w:r>
          </w:p>
        </w:tc>
        <w:tc>
          <w:tcPr>
            <w:tcW w:w="0" w:type="auto"/>
          </w:tcPr>
          <w:p>
            <w:r>
              <w:t xml:space="preserve">scope_type, scope_id, period_start, request_count, reserved_units, used_units, expires_at</w:t>
            </w:r>
          </w:p>
        </w:tc>
        <w:tc>
          <w:tcPr>
            <w:tcW w:w="0" w:type="auto"/>
          </w:tcPr>
          <w:p>
            <w:r>
              <w:t xml:space="preserve">PK (scope_type, scope_id, period_start). Guest/event/application budget scopes; atomic reservation before spend. Settle/release reservations on success/failure with bounded crash recovery. Counters are derived quota state, not a billing ledger.</w:t>
            </w:r>
          </w:p>
        </w:tc>
      </w:tr>
      <w:tr>
        <w:tc>
          <w:tcPr>
            <w:tcW w:w="0" w:type="auto"/>
          </w:tcPr>
          <w:p>
            <w:r>
              <w:t xml:space="preserve">gifts.routes</w:t>
            </w:r>
          </w:p>
        </w:tc>
        <w:tc>
          <w:tcPr>
            <w:tcW w:w="0" w:type="auto"/>
          </w:tcPr>
          <w:p>
            <w:r>
              <w:t xml:space="preserve">id, event_id, service, current_version, enabled</w:t>
            </w:r>
          </w:p>
        </w:tc>
        <w:tc>
          <w:tcPr>
            <w:tcW w:w="0" w:type="auto"/>
          </w:tcPr>
          <w:p>
            <w:r>
              <w:t xml:space="preserve">PK id; UQ (event_id, service), (event_id, id, service), (event_id, id). Service allowlist Cash App/Venmo/Zelle. Deferred composite FK (event_id, id, current_version) to destination_versions, added after both tables exist. One stable slot per service; no plaintext identifier copy.</w:t>
            </w:r>
          </w:p>
        </w:tc>
      </w:tr>
      <w:tr>
        <w:tc>
          <w:tcPr>
            <w:tcW w:w="0" w:type="auto"/>
          </w:tcPr>
          <w:p>
            <w:r>
              <w:t xml:space="preserve">gifts.destination_versions</w:t>
            </w:r>
          </w:p>
        </w:tc>
        <w:tc>
          <w:tcPr>
            <w:tcW w:w="0" w:type="auto"/>
          </w:tcPr>
          <w:p>
            <w:r>
              <w:t xml:space="preserve">route_id, event_id, version, recipient_display_name, identifier_kind, identifier_ciphertext, encryption_key_version, created_by_customer_id, host_confirmed_by_customer_id?, host_confirmed_at?, confirmation_wording_version?</w:t>
            </w:r>
          </w:p>
        </w:tc>
        <w:tc>
          <w:tcPr>
            <w:tcW w:w="0" w:type="auto"/>
          </w:tcPr>
          <w:p>
            <w:r>
              <w:t xml:space="preserve">PK (route_id, version); UQ (event_id, route_id, version); same-event route FK and actor FKs. Incrementing version; identifier kind valid for route's service. Identifier/name immutable; confirmation set once after authorized double-entry/service review. No stored second entry or arbitrary URL.</w:t>
            </w:r>
          </w:p>
        </w:tc>
      </w:tr>
      <w:tr>
        <w:tc>
          <w:tcPr>
            <w:tcW w:w="0" w:type="auto"/>
          </w:tcPr>
          <w:p>
            <w:r>
              <w:t xml:space="preserve">gifts.gift_intents</w:t>
            </w:r>
          </w:p>
        </w:tc>
        <w:tc>
          <w:tcPr>
            <w:tcW w:w="0" w:type="auto"/>
          </w:tcPr>
          <w:p>
            <w:r>
              <w:t xml:space="preserve">id, event_id, guest_id, selected_service, destination_id, destination_version, review_revision, acknowledged_revision?, acknowledged_at?, acknowledgment_wording_version?, intended_amount_minor?, currency?, request_key, cancelled_at?</w:t>
            </w:r>
          </w:p>
        </w:tc>
        <w:tc>
          <w:tcPr>
            <w:tcW w:w="0" w:type="auto"/>
          </w:tcPr>
          <w:p>
            <w:r>
              <w:t xml:space="preserve">PK id; UQ (event_id, guest_id, request_key), (event_id, id). destination_id is route ID; composite FKs to same-event guest, (event_id, destination_id, selected_service) route and (event_id, destination_id, destination_version) version. Amount/currency both absent or both valid. No mandatory card ID.</w:t>
            </w:r>
          </w:p>
        </w:tc>
      </w:tr>
      <w:tr>
        <w:tc>
          <w:tcPr>
            <w:tcW w:w="0" w:type="auto"/>
          </w:tcPr>
          <w:p>
            <w:r>
              <w:t xml:space="preserve">gifts.gift_events</w:t>
            </w:r>
          </w:p>
        </w:tc>
        <w:tc>
          <w:tcPr>
            <w:tcW w:w="0" w:type="auto"/>
          </w:tcPr>
          <w:p>
            <w:r>
              <w:t xml:space="preserve">id, event_id, gift_intent_id, sequence, type, destination_id, destination_version, review_revision, actor_guest_id?, actor_customer_id?, request_key, recorded_at</w:t>
            </w:r>
          </w:p>
        </w:tc>
        <w:tc>
          <w:tcPr>
            <w:tcW w:w="0" w:type="auto"/>
          </w:tcPr>
          <w:p>
            <w:r>
              <w:t xml:space="preserve">PK id; UQ (gift_intent_id, sequence), (gift_intent_id, request_key); scoped intent/version/actor FKs. Append handoff_issued, guest_reported, host_confirmed, host_confirmation_revoked, cancelled. Public use cases enforce actor rules; only owning host confirms/revokes receipt. Preserve historical reviewed tuple.</w:t>
            </w:r>
          </w:p>
        </w:tc>
      </w:tr>
      <w:tr>
        <w:tc>
          <w:tcPr>
            <w:tcW w:w="0" w:type="auto"/>
          </w:tcPr>
          <w:p>
            <w:r>
              <w:t xml:space="preserve">book.entry_projection</w:t>
            </w:r>
          </w:p>
        </w:tc>
        <w:tc>
          <w:tcPr>
            <w:tcW w:w="0" w:type="auto"/>
          </w:tcPr>
          <w:p>
            <w:r>
              <w:t xml:space="preserve">event_id, submission_id, source_revision, eligible, submitted_at, sort_key</w:t>
            </w:r>
          </w:p>
        </w:tc>
        <w:tc>
          <w:tcPr>
            <w:tcW w:w="0" w:type="auto"/>
          </w:tcPr>
          <w:p>
            <w:r>
              <w:t xml:space="preserve">PK (event_id, submission_id); scoped submission FK. Rebuild from Cards public events/query; no duplicate text, photo, guest profile or gift amounts. Index (event_id, eligible, sort_key, submission_id).</w:t>
            </w:r>
          </w:p>
        </w:tc>
      </w:tr>
      <w:tr>
        <w:tc>
          <w:tcPr>
            <w:tcW w:w="0" w:type="auto"/>
          </w:tcPr>
          <w:p>
            <w:r>
              <w:t xml:space="preserve">book.snapshots</w:t>
            </w:r>
          </w:p>
        </w:tc>
        <w:tc>
          <w:tcPr>
            <w:tcW w:w="0" w:type="auto"/>
          </w:tcPr>
          <w:p>
            <w:r>
              <w:t xml:space="preserve">id, event_id, revision, cutoff_at, included_count, finalized_at</w:t>
            </w:r>
          </w:p>
        </w:tc>
        <w:tc>
          <w:tcPr>
            <w:tcW w:w="0" w:type="auto"/>
          </w:tcPr>
          <w:p>
            <w:r>
              <w:t xml:space="preserve">PK id; UQ (event_id, revision), (event_id, id). Nonnegative count derives from entries in same transaction. No new entries after contribution close; correction revisions may remove entries without admitting late gifts.</w:t>
            </w:r>
          </w:p>
        </w:tc>
      </w:tr>
      <w:tr>
        <w:tc>
          <w:tcPr>
            <w:tcW w:w="0" w:type="auto"/>
          </w:tcPr>
          <w:p>
            <w:r>
              <w:t xml:space="preserve">book.snapshot_entries</w:t>
            </w:r>
          </w:p>
        </w:tc>
        <w:tc>
          <w:tcPr>
            <w:tcW w:w="0" w:type="auto"/>
          </w:tcPr>
          <w:p>
            <w:r>
              <w:t xml:space="preserve">event_id, snapshot_id, submission_id, position, source_revision</w:t>
            </w:r>
          </w:p>
        </w:tc>
        <w:tc>
          <w:tcPr>
            <w:tcW w:w="0" w:type="auto"/>
          </w:tcPr>
          <w:p>
            <w:r>
              <w:t xml:space="preserve">PK (snapshot_id, submission_id); UQ (snapshot_id, position); same-event snapshot/submission FKs. Frozen membership/order, not another content store.</w:t>
            </w:r>
          </w:p>
        </w:tc>
      </w:tr>
      <w:tr>
        <w:tc>
          <w:tcPr>
            <w:tcW w:w="0" w:type="auto"/>
          </w:tcPr>
          <w:p>
            <w:r>
              <w:t xml:space="preserve">book.exports</w:t>
            </w:r>
          </w:p>
        </w:tc>
        <w:tc>
          <w:tcPr>
            <w:tcW w:w="0" w:type="auto"/>
          </w:tcPr>
          <w:p>
            <w:r>
              <w:t xml:space="preserve">id, event_id, snapshot_id, requested_by_customer_id, request_key, status, object_key?, expires_at, invalidated_at?, completed_at?</w:t>
            </w:r>
          </w:p>
        </w:tc>
        <w:tc>
          <w:tcPr>
            <w:tcW w:w="0" w:type="auto"/>
          </w:tcPr>
          <w:p>
            <w:r>
              <w:t xml:space="preserve">PK id; UQ (event_id, requested_by_customer_id, request_key); scoped snapshot/customer FKs. Private object, newly issued short-lived signed URL, audited access. Worker/download reauthorize ownership and current consent/moderation; stale projection cannot authorize disclosure.</w:t>
            </w:r>
          </w:p>
        </w:tc>
      </w:tr>
      <w:tr>
        <w:tc>
          <w:tcPr>
            <w:tcW w:w="0" w:type="auto"/>
          </w:tcPr>
          <w:p>
            <w:r>
              <w:t xml:space="preserve">platform.audit_events</w:t>
            </w:r>
          </w:p>
        </w:tc>
        <w:tc>
          <w:tcPr>
            <w:tcW w:w="0" w:type="auto"/>
          </w:tcPr>
          <w:p>
            <w:r>
              <w:t xml:space="preserve">id, event_id?, actor_kind, actor_id?, module, action, entity_id, entity_revision?, request_id, outcome, recorded_at</w:t>
            </w:r>
          </w:p>
        </w:tc>
        <w:tc>
          <w:tcPr>
            <w:tcW w:w="0" w:type="auto"/>
          </w:tcPr>
          <w:p>
            <w:r>
              <w:t xml:space="preserve">PK id; append-only to runtime; index (event_id, recorded_at, id). Sensitive actions/destination edits/exports contain IDs and versions, no clear identifiers, tokens, card text or request payload.</w:t>
            </w:r>
          </w:p>
        </w:tc>
      </w:tr>
      <w:tr>
        <w:tc>
          <w:tcPr>
            <w:tcW w:w="0" w:type="auto"/>
          </w:tcPr>
          <w:p>
            <w:r>
              <w:t xml:space="preserve">platform.idempotency_keys</w:t>
            </w:r>
          </w:p>
        </w:tc>
        <w:tc>
          <w:tcPr>
            <w:tcW w:w="0" w:type="auto"/>
          </w:tcPr>
          <w:p>
            <w:r>
              <w:t xml:space="preserve">actor_scope, operation, request_key, request_digest, resource_id?, status, expires_at</w:t>
            </w:r>
          </w:p>
        </w:tc>
        <w:tc>
          <w:tcPr>
            <w:tcW w:w="0" w:type="auto"/>
          </w:tcPr>
          <w:p>
            <w:r>
              <w:t xml:space="preserve">PK (actor_scope, operation, request_key); server-derived scope includes event. Same key/body resolves previous resource, different body conflicts. No cached secret URL/decrypted destination. Handoff retry still rechecks validity; deduplication cannot bypass closure/revocation.</w:t>
            </w:r>
          </w:p>
        </w:tc>
      </w:tr>
      <w:tr>
        <w:tc>
          <w:tcPr>
            <w:tcW w:w="0" w:type="auto"/>
          </w:tcPr>
          <w:p>
            <w:r>
              <w:t xml:space="preserve">platform.outbox_messages</w:t>
            </w:r>
          </w:p>
        </w:tc>
        <w:tc>
          <w:tcPr>
            <w:tcW w:w="0" w:type="auto"/>
          </w:tcPr>
          <w:p>
            <w:r>
              <w:t xml:space="preserve">id, event_id?, module, entity_id, entity_revision, type, payload_json, available_at, attempts, lease_until?, processed_at?</w:t>
            </w:r>
          </w:p>
        </w:tc>
        <w:tc>
          <w:tcPr>
            <w:tcW w:w="0" w:type="auto"/>
          </w:tcPr>
          <w:p>
            <w:r>
              <w:t xml:space="preserve">PK id; UQ (module, entity_id, entity_revision, type); pending-work index. Mutation/public event commit together; bounded leases/backoff/retries preserve failures for review. Payload contains minimal IDs/revisions, no private text/identifier.</w:t>
            </w:r>
          </w:p>
        </w:tc>
      </w:tr>
      <w:tr>
        <w:tc>
          <w:tcPr>
            <w:tcW w:w="0" w:type="auto"/>
          </w:tcPr>
          <w:p>
            <w:r>
              <w:t xml:space="preserve">platform.consumer_receipts</w:t>
            </w:r>
          </w:p>
        </w:tc>
        <w:tc>
          <w:tcPr>
            <w:tcW w:w="0" w:type="auto"/>
          </w:tcPr>
          <w:p>
            <w:r>
              <w:t xml:space="preserve">consumer, message_id, processed_at</w:t>
            </w:r>
          </w:p>
        </w:tc>
        <w:tc>
          <w:tcPr>
            <w:tcW w:w="0" w:type="auto"/>
          </w:tcPr>
          <w:p>
            <w:r>
              <w:t xml:space="preserve">PK (consumer, message_id); FK retained outbox ID. Projection update and receipt commit together; source revisions prevent duplicate/out-of-order changes. Keep receipts as long as messages can replay.</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 xml:space="preserve">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180 focused hours. The broader external pilot remains 192–215 hours, with 140–220 more for approved integrated gifts, or 332–435 combined. The external phase with music becomes 208–243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 xml:space="preserve">Future transaction tables — not October migrations</w:t>
      </w:r>
    </w:p>
    <w:tbl>
      <w:tblPr>
        <w:tblW w:w="0" w:type="auto"/>
        <w:tblBorders>
          <w:top w:val="single" w:sz="4"/>
          <w:bottom w:val="single" w:sz="4"/>
          <w:insideH w:val="single" w:sz="4"/>
        </w:tblBorders>
      </w:tblPr>
      <w:tr>
        <w:trPr>
          <w:tblHeader/>
        </w:trPr>
        <w:tc>
          <w:tcPr>
            <w:tcW w:w="0" w:type="auto"/>
          </w:tcPr>
          <w:p>
            <w:r>
              <w:t xml:space="preserve">Future tables</w:t>
            </w:r>
          </w:p>
        </w:tc>
        <w:tc>
          <w:tcPr>
            <w:tcW w:w="0" w:type="auto"/>
          </w:tcPr>
          <w:p>
            <w:r>
              <w:t xml:space="preserve">Relations / invariants</w:t>
            </w:r>
          </w:p>
        </w:tc>
        <w:tc>
          <w:tcPr>
            <w:tcW w:w="0" w:type="auto"/>
          </w:tcPr>
          <w:p>
            <w:r>
              <w:t xml:space="preserve">Existing story owner</w:t>
            </w:r>
          </w:p>
        </w:tc>
      </w:tr>
      <w:tr>
        <w:tc>
          <w:tcPr>
            <w:tcW w:w="0" w:type="auto"/>
          </w:tcPr>
          <w:p>
            <w:r>
              <w:t xml:space="preserve">billing.orders, billing.order_items</w:t>
            </w:r>
          </w:p>
        </w:tc>
        <w:tc>
          <w:tcPr>
            <w:tcW w:w="0" w:type="auto"/>
          </w:tcPr>
          <w:p>
            <w:r>
              <w:t xml:space="preserve">Buyer customer or same-event guest; item references card or frozen book snapshot. Server quote fixes item price/currency and count/tier. No book_orders copy.</w:t>
            </w:r>
          </w:p>
        </w:tc>
        <w:tc>
          <w:tcPr>
            <w:tcW w:w="0" w:type="auto"/>
          </w:tcPr>
          <w:p>
            <w:r>
              <w:t xml:space="preserve">DCB-E10-S02/S03</w:t>
            </w:r>
          </w:p>
        </w:tc>
      </w:tr>
      <w:tr>
        <w:tc>
          <w:tcPr>
            <w:tcW w:w="0" w:type="auto"/>
          </w:tcPr>
          <w:p>
            <w:r>
              <w:t xml:space="preserve">billing.payment_attempts, billing.provider_events</w:t>
            </w:r>
          </w:p>
        </w:tc>
        <w:tc>
          <w:tcPr>
            <w:tcW w:w="0" w:type="auto"/>
          </w:tcPr>
          <w:p>
            <w:r>
              <w:t xml:space="preserve">Attempts FK order; unique provider references/request keys. Event UQ (provider, provider_event_id), verified signature, allowlisted fields/digest. Multiple attempts per order; return URL cannot mark paid.</w:t>
            </w:r>
          </w:p>
        </w:tc>
        <w:tc>
          <w:tcPr>
            <w:tcW w:w="0" w:type="auto"/>
          </w:tcPr>
          <w:p>
            <w:r>
              <w:t xml:space="preserve">DCB-E10-S03/S04</w:t>
            </w:r>
          </w:p>
        </w:tc>
      </w:tr>
      <w:tr>
        <w:tc>
          <w:tcPr>
            <w:tcW w:w="0" w:type="auto"/>
          </w:tcPr>
          <w:p>
            <w:r>
              <w:t xml:space="preserve">billing.entitlements, billing.refunds</w:t>
            </w:r>
          </w:p>
        </w:tc>
        <w:tc>
          <w:tcPr>
            <w:tcW w:w="0" w:type="auto"/>
          </w:tcPr>
          <w:p>
            <w:r>
              <w:t xml:space="preserve">Entitlement FK paid item with unique target grant; refund FK attempt and unique provider refund ID. Grant/revoke once from verified state; preserve history and partial/full refunds.</w:t>
            </w:r>
          </w:p>
        </w:tc>
        <w:tc>
          <w:tcPr>
            <w:tcW w:w="0" w:type="auto"/>
          </w:tcPr>
          <w:p>
            <w:r>
              <w:t xml:space="preserve">DCB-E10-S04/S05</w:t>
            </w:r>
          </w:p>
        </w:tc>
      </w:tr>
      <w:tr>
        <w:tc>
          <w:tcPr>
            <w:tcW w:w="0" w:type="auto"/>
          </w:tcPr>
          <w:p>
            <w:r>
              <w:t xml:space="preserve">gifts.recipient_accounts</w:t>
            </w:r>
          </w:p>
        </w:tc>
        <w:tc>
          <w:tcPr>
            <w:tcW w:w="0" w:type="auto"/>
          </w:tcPr>
          <w:p>
            <w:r>
              <w:t xml:space="preserve">FK customer, unique provider account ID/readiness; provider collects identity/bank data.</w:t>
            </w:r>
          </w:p>
        </w:tc>
        <w:tc>
          <w:tcPr>
            <w:tcW w:w="0" w:type="auto"/>
          </w:tcPr>
          <w:p>
            <w:r>
              <w:t xml:space="preserve">DCB-E11-S02</w:t>
            </w:r>
          </w:p>
        </w:tc>
      </w:tr>
      <w:tr>
        <w:tc>
          <w:tcPr>
            <w:tcW w:w="0" w:type="auto"/>
          </w:tcPr>
          <w:p>
            <w:r>
              <w:t xml:space="preserve">gifts.integrated_payments, gifts.payment_attempts, gifts.provider_events</w:t>
            </w:r>
          </w:p>
        </w:tc>
        <w:tc>
          <w:tcPr>
            <w:tcW w:w="0" w:type="auto"/>
          </w:tcPr>
          <w:p>
            <w:r>
              <w:t xml:space="preserve">Payment FK event/guest/recipient and optional card; separate from external intents. Attempts FK payment; signed events/unique provider IDs, approved state machine.</w:t>
            </w:r>
          </w:p>
        </w:tc>
        <w:tc>
          <w:tcPr>
            <w:tcW w:w="0" w:type="auto"/>
          </w:tcPr>
          <w:p>
            <w:r>
              <w:t xml:space="preserve">DCB-E11-S03/S04</w:t>
            </w:r>
          </w:p>
        </w:tc>
      </w:tr>
      <w:tr>
        <w:tc>
          <w:tcPr>
            <w:tcW w:w="0" w:type="auto"/>
          </w:tcPr>
          <w:p>
            <w:r>
              <w:t xml:space="preserve">gifts.ledger_accounts, gifts.ledger_journals, gifts.ledger_entries</w:t>
            </w:r>
          </w:p>
        </w:tc>
        <w:tc>
          <w:tcPr>
            <w:tcW w:w="0" w:type="auto"/>
          </w:tcPr>
          <w:p>
            <w:r>
              <w:t xml:space="preserve">Approved double-entry: journal FK payment/provider event; entries FK journal/account with positive minor units and debit/credit side; currency per account. Balanced journals commit atomically; corrections compensate. Never derive money from external clicks.</w:t>
            </w:r>
          </w:p>
        </w:tc>
        <w:tc>
          <w:tcPr>
            <w:tcW w:w="0" w:type="auto"/>
          </w:tcPr>
          <w:p>
            <w:r>
              <w:t xml:space="preserve">DCB-E11-S05/S06</w:t>
            </w:r>
          </w:p>
        </w:tc>
      </w:tr>
      <w:tr>
        <w:tc>
          <w:tcPr>
            <w:tcW w:w="0" w:type="auto"/>
          </w:tcPr>
          <w:p>
            <w:r>
              <w:t xml:space="preserve">gifts.payouts, gifts.payout_allocations, gifts.refunds, gifts.disputes</w:t>
            </w:r>
          </w:p>
        </w:tc>
        <w:tc>
          <w:tcPr>
            <w:tcW w:w="0" w:type="auto"/>
          </w:tcPr>
          <w:p>
            <w:r>
              <w:t xml:space="preserve">Unique provider IDs; allocations link payout to settled payments/journals; refund/dispute FK payment and compensating journal. Distinguish settlement/availability/payout.</w:t>
            </w:r>
          </w:p>
        </w:tc>
        <w:tc>
          <w:tcPr>
            <w:tcW w:w="0" w:type="auto"/>
          </w:tcPr>
          <w:p>
            <w:r>
              <w:t xml:space="preserve">DCB-E11-S05/S06</w:t>
            </w:r>
          </w:p>
        </w:tc>
      </w:tr>
      <w:tr>
        <w:tc>
          <w:tcPr>
            <w:tcW w:w="0" w:type="auto"/>
          </w:tcPr>
          <w:p>
            <w:r>
              <w:t xml:space="preserve">gifts.reconciliation_runs, gifts.reconciliation_items</w:t>
            </w:r>
          </w:p>
        </w:tc>
        <w:tc>
          <w:tcPr>
            <w:tcW w:w="0" w:type="auto"/>
          </w:tcPr>
          <w:p>
            <w:r>
              <w:t xml:space="preserve">Run provider/time range; items link unmatched payment/payout/journal and resolution evidence. Daily amount/currency/state matching.</w:t>
            </w:r>
          </w:p>
        </w:tc>
        <w:tc>
          <w:tcPr>
            <w:tcW w:w="0" w:type="auto"/>
          </w:tcPr>
          <w:p>
            <w:r>
              <w:t xml:space="preserve">DCB-E11-S07</w:t>
            </w:r>
          </w:p>
        </w:tc>
      </w:tr>
    </w:tbl>
    <w:p>
      <w:r>
        <w:t xml:space="preserve">The preceding October dictionary replaces the older mixed-phase table list. Detailed types, indexes, FK contracts, exact authorization, retention and concurrency evidence are maintained in DATA_MODEL.md. UUIDs and same-event composite references preserve scope; customer email is not an ownership key. Consent, moderation and exports must recheck current exclusions. All five existing drawings and their media remain unchanged.</w:t>
      </w:r>
    </w:p>
    <w:p>
      <w:pPr>
        <w:pStyle w:val="Heading1"/>
      </w:pPr>
      <w:r>
        <w:t xml:space="preserve">DEV, TEST and PROD delivery – 13 October 2026</w:t>
      </w:r>
    </w:p>
    <w:p>
      <w:r>
        <w:t xml:space="preserve">One GitHub repository uses GitHub Actions for static UI delivery. Feature branches create DEV previews under digitalcardbox-app-dev. Develop updates the stable digitalcardbox-app-test Worker, while release branches create separate TEST previews. Only master targets the existing digitalcardbox-app production Worker and customer URL, after the owner’s approval. Master begins from current production history with pipeline files only; feature UI changes are not promoted during setup. The previous main is retained as a frozen legacy reference during cutover.</w:t>
      </w:r>
    </w:p>
    <w:p>
      <w:r>
        <w:t xml:space="preserve">The repository has one contributor. Required PR approvals are zero, and production deployment self-review is allowed for rcummings713. Build checks remain required. Deployment uses the checked build artifact and rejects an approval when master has moved. API tokens belong in GitHub environment secrets. Disable the existing Cloudflare Git-connected automatic builds so they cannot bypass the GitHub approval. The current local Cloudflare session cannot manage API tokens or Builds settings (HTTP 403), so those account settings require the owner’s action.</w:t>
      </w:r>
    </w:p>
    <w:p>
      <w:r>
        <w:t xml:space="preserve">These are separate static deployment targets, not installed production databases or verified payment services. PostgreSQL and private storage remain environment-specific future work under ADR 0005 and DATA_MODEL.md; the server runtime choice in ADR 0001 stays open. ADR 0006 and planning/ENVIRONMENTS.md record the pipeline, solo release steps and rollback procedure.</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