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Financial Summary</w:t>
      </w:r>
    </w:p>
    <w:p>
      <w:pPr/>
      <w:r>
        <w:t>How the product makes money, what it costs, and the capital required to test it</w:t>
      </w:r>
    </w:p>
    <w:p>
      <w:pPr/>
      <w:r>
        <w:t xml:space="preserve">13 October 2026  |  United States planning model  |  USD</w:t>
      </w:r>
    </w:p>
    <w:p>
      <w:pPr/>
      <w:r>
        <w:t>Decision. The free shareable page and basic note/card are an acquisition product. The first plausible paid lines are an optional $4.99 premium card and a premium event book priced at $15, $30 or $79 according to included entries after submissions close. A 3% fee on an integrated $100 gift is loss-making under the existing payment assumption, so it is not counted in the base forecast. This is a scenario model, not a sales forecast or provider offer. Link and QR access is time-limited; gift principal belongs to the recipient.</w:t>
      </w:r>
    </w:p>
    <w:p>
      <w:pPr>
        <w:pStyle w:val="Heading1"/>
      </w:pPr>
      <w:r>
        <w:t>October 2026 delivery alignment</w:t>
      </w:r>
    </w:p>
    <w:p>
      <w:r>
        <w:t xml:space="preserve">TheDigitalCardBox is the working name. The private, free external-wallet MVP targets 31 October 2026; premium card and event-book sales in this document are later test offers, not October revenue. The October engineering plan is 180 focused hours, with the indefinitely fixed one-time $500 development fee unchanged. The full external pilot, including supervised events and optional generated art, remains 192–215 hours. Cash gift principal moves through external services and never becomes platform revenue.</w:t>
      </w:r>
    </w:p>
    <w:p>
      <w:pPr>
        <w:pStyle w:val="Heading1"/>
      </w:pPr>
      <w:r>
        <w:t>One-page money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3110"/>
            <w:shd w:fill="243B4D"/>
          </w:tcPr>
          <w:p>
            <w:pPr>
              <w:spacing w:after="20"/>
            </w:pPr>
            <w:r>
              <w:rPr>
                <w:b/>
                <w:color w:val="FFFFFF"/>
                <w:sz w:val="16"/>
              </w:rPr>
              <w:t>Customer action</w:t>
            </w:r>
          </w:p>
        </w:tc>
        <w:tc>
          <w:tcPr>
            <w:tcW w:type="dxa" w:w="2045"/>
            <w:shd w:fill="243B4D"/>
          </w:tcPr>
          <w:p>
            <w:pPr>
              <w:spacing w:after="20"/>
            </w:pPr>
            <w:r>
              <w:rPr>
                <w:b/>
                <w:color w:val="FFFFFF"/>
                <w:sz w:val="16"/>
              </w:rPr>
              <w:t>Platform revenue</w:t>
            </w:r>
          </w:p>
        </w:tc>
        <w:tc>
          <w:tcPr>
            <w:tcW w:type="dxa" w:w="4637"/>
            <w:shd w:fill="243B4D"/>
          </w:tcPr>
          <w:p>
            <w:pPr>
              <w:spacing w:after="20"/>
            </w:pPr>
            <w:r>
              <w:rPr>
                <w:b/>
                <w:color w:val="FFFFFF"/>
                <w:sz w:val="16"/>
              </w:rPr>
              <w:t>Direct cost and status</w:t>
            </w:r>
          </w:p>
        </w:tc>
      </w:tr>
      <w:tr>
        <w:tc>
          <w:tcPr>
            <w:tcW w:type="dxa" w:w="3110"/>
            <w:vAlign w:val="center"/>
          </w:tcPr>
          <w:p>
            <w:pPr>
              <w:spacing w:after="20"/>
            </w:pPr>
            <w:r>
              <w:rPr>
                <w:b/>
                <w:sz w:val="16"/>
              </w:rPr>
              <w:t>Recipient creates and shares a page</w:t>
            </w:r>
          </w:p>
        </w:tc>
        <w:tc>
          <w:tcPr>
            <w:tcW w:type="dxa" w:w="2045"/>
            <w:vAlign w:val="center"/>
          </w:tcPr>
          <w:p>
            <w:pPr>
              <w:spacing w:after="20"/>
            </w:pPr>
            <w:r>
              <w:rPr>
                <w:sz w:val="16"/>
              </w:rPr>
              <w:t>$0</w:t>
            </w:r>
          </w:p>
        </w:tc>
        <w:tc>
          <w:tcPr>
            <w:tcW w:type="dxa" w:w="4637"/>
            <w:vAlign w:val="center"/>
          </w:tcPr>
          <w:p>
            <w:pPr>
              <w:spacing w:after="20"/>
            </w:pPr>
            <w:r>
              <w:rPr>
                <w:sz w:val="16"/>
              </w:rPr>
              <w:t>Fixed app, database, domain, email and support; link and QR use same page.</w:t>
            </w:r>
          </w:p>
        </w:tc>
      </w:tr>
      <w:tr>
        <w:tc>
          <w:tcPr>
            <w:tcW w:type="dxa" w:w="3110"/>
            <w:vAlign w:val="center"/>
            <w:shd w:fill="F1F4F6"/>
          </w:tcPr>
          <w:p>
            <w:pPr>
              <w:spacing w:after="20"/>
            </w:pPr>
            <w:r>
              <w:rPr>
                <w:b/>
                <w:sz w:val="16"/>
              </w:rPr>
              <w:t>Giver sends basic note/card</w:t>
            </w:r>
          </w:p>
        </w:tc>
        <w:tc>
          <w:tcPr>
            <w:tcW w:type="dxa" w:w="2045"/>
            <w:vAlign w:val="center"/>
            <w:shd w:fill="F1F4F6"/>
          </w:tcPr>
          <w:p>
            <w:pPr>
              <w:spacing w:after="20"/>
            </w:pPr>
            <w:r>
              <w:rPr>
                <w:sz w:val="16"/>
              </w:rPr>
              <w:t>$0</w:t>
            </w:r>
          </w:p>
        </w:tc>
        <w:tc>
          <w:tcPr>
            <w:tcW w:type="dxa" w:w="4637"/>
            <w:vAlign w:val="center"/>
            <w:shd w:fill="F1F4F6"/>
          </w:tcPr>
          <w:p>
            <w:pPr>
              <w:spacing w:after="20"/>
            </w:pPr>
            <w:r>
              <w:rPr>
                <w:sz w:val="16"/>
              </w:rPr>
              <w:t>Expected $0.01915 per completed card under AI/art/photo/delivery assumptions.</w:t>
            </w:r>
          </w:p>
        </w:tc>
      </w:tr>
      <w:tr>
        <w:tc>
          <w:tcPr>
            <w:tcW w:type="dxa" w:w="3110"/>
            <w:vAlign w:val="center"/>
          </w:tcPr>
          <w:p>
            <w:pPr>
              <w:spacing w:after="20"/>
            </w:pPr>
            <w:r>
              <w:rPr>
                <w:b/>
                <w:sz w:val="16"/>
              </w:rPr>
              <w:t>Giver buys premium card</w:t>
            </w:r>
          </w:p>
        </w:tc>
        <w:tc>
          <w:tcPr>
            <w:tcW w:type="dxa" w:w="2045"/>
            <w:vAlign w:val="center"/>
          </w:tcPr>
          <w:p>
            <w:pPr>
              <w:spacing w:after="20"/>
            </w:pPr>
            <w:r>
              <w:rPr>
                <w:sz w:val="16"/>
              </w:rPr>
              <w:t>$4.99</w:t>
            </w:r>
          </w:p>
        </w:tc>
        <w:tc>
          <w:tcPr>
            <w:tcW w:type="dxa" w:w="4637"/>
            <w:vAlign w:val="center"/>
          </w:tcPr>
          <w:p>
            <w:pPr>
              <w:spacing w:after="20"/>
            </w:pPr>
            <w:r>
              <w:rPr>
                <w:sz w:val="16"/>
              </w:rPr>
              <w:t>Incremental $0.57471 transaction and extras, plus base-card expected cost.</w:t>
            </w:r>
          </w:p>
        </w:tc>
      </w:tr>
      <w:tr>
        <w:tc>
          <w:tcPr>
            <w:tcW w:type="dxa" w:w="3110"/>
            <w:vAlign w:val="center"/>
            <w:shd w:fill="F1F4F6"/>
          </w:tcPr>
          <w:p>
            <w:pPr>
              <w:spacing w:after="20"/>
            </w:pPr>
            <w:r>
              <w:rPr>
                <w:b/>
                <w:sz w:val="16"/>
              </w:rPr>
              <w:t>Recipient buys premium event book</w:t>
            </w:r>
          </w:p>
        </w:tc>
        <w:tc>
          <w:tcPr>
            <w:tcW w:type="dxa" w:w="2045"/>
            <w:vAlign w:val="center"/>
            <w:shd w:fill="F1F4F6"/>
          </w:tcPr>
          <w:p>
            <w:r>
              <w:t>$15 for 0–99 entries; $30 for 100–299; $79 for 300+</w:t>
            </w:r>
          </w:p>
        </w:tc>
        <w:tc>
          <w:tcPr>
            <w:tcW w:type="dxa" w:w="4637"/>
            <w:vAlign w:val="center"/>
            <w:shd w:fill="F1F4F6"/>
          </w:tcPr>
          <w:p>
            <w:r>
              <w:t>Estimated purchase fee plus export: $0.785 / $1.22 / $2.641 respectively.</w:t>
            </w:r>
          </w:p>
        </w:tc>
      </w:tr>
      <w:tr>
        <w:tc>
          <w:tcPr>
            <w:tcW w:type="dxa" w:w="3110"/>
            <w:vAlign w:val="center"/>
          </w:tcPr>
          <w:p>
            <w:pPr>
              <w:spacing w:after="20"/>
            </w:pPr>
            <w:r>
              <w:rPr>
                <w:b/>
                <w:sz w:val="16"/>
              </w:rPr>
              <w:t>Giver sends a $100 cash gift</w:t>
            </w:r>
          </w:p>
        </w:tc>
        <w:tc>
          <w:tcPr>
            <w:tcW w:type="dxa" w:w="2045"/>
            <w:vAlign w:val="center"/>
          </w:tcPr>
          <w:p>
            <w:pPr>
              <w:spacing w:after="20"/>
            </w:pPr>
            <w:r>
              <w:rPr>
                <w:sz w:val="16"/>
              </w:rPr>
              <w:t>External route: $0 to platform. Integrated illustrative fee: $3.</w:t>
            </w:r>
          </w:p>
        </w:tc>
        <w:tc>
          <w:tcPr>
            <w:tcW w:type="dxa" w:w="4637"/>
            <w:vAlign w:val="center"/>
          </w:tcPr>
          <w:p>
            <w:r>
              <w:t>External service handles funds; $0 platform fee. Host supplied destination, exact guest review and host receipt check are required. Misdirection or support loss is unmodeled. Integrated route requires approval.</w:t>
            </w:r>
          </w:p>
        </w:tc>
      </w:tr>
      <w:tr>
        <w:tc>
          <w:tcPr>
            <w:tcW w:type="dxa" w:w="3110"/>
            <w:vAlign w:val="center"/>
            <w:shd w:fill="F1F4F6"/>
          </w:tcPr>
          <w:p>
            <w:pPr>
              <w:spacing w:after="20"/>
            </w:pPr>
            <w:r>
              <w:rPr>
                <w:b/>
                <w:sz w:val="16"/>
              </w:rPr>
              <w:t>Giver selects commercial music</w:t>
            </w:r>
          </w:p>
        </w:tc>
        <w:tc>
          <w:tcPr>
            <w:tcW w:type="dxa" w:w="2045"/>
            <w:vAlign w:val="center"/>
            <w:shd w:fill="F1F4F6"/>
          </w:tcPr>
          <w:p>
            <w:pPr>
              <w:spacing w:after="20"/>
            </w:pPr>
            <w:r>
              <w:rPr>
                <w:sz w:val="16"/>
              </w:rPr>
              <w:t>No revenue assumed.</w:t>
            </w:r>
          </w:p>
        </w:tc>
        <w:tc>
          <w:tcPr>
            <w:tcW w:type="dxa" w:w="4637"/>
            <w:vAlign w:val="center"/>
            <w:shd w:fill="F1F4F6"/>
          </w:tcPr>
          <w:p>
            <w:pPr>
              <w:spacing w:after="20"/>
            </w:pPr>
            <w:r>
              <w:rPr>
                <w:sz w:val="16"/>
              </w:rPr>
              <w:t>Vendor quote and explicit card/note/sharing rights required; omitted from forecasts.</w:t>
            </w:r>
          </w:p>
        </w:tc>
      </w:tr>
    </w:tbl>
    <w:p/>
    <w:p>
      <w:pPr/>
      <w:r>
        <w:t>The principal of a cash gift moves directly from guest to host in the external pilot and is excluded from platform revenue. The host may confirm one destination per enabled service, and the guest chooses a service and checks the recipient inside the payment service; our app cannot verify receipt or recover a misdirected external transfer. Wrong-destination support and potential claims have no measured loss rate and are excluded from the monthly scenarios. The model subtracts software, marketing and support from product contribution. Taxes, legal events, refunds, music and any provider minimum remain separate until quoted or incurred.</w:t>
      </w:r>
    </w:p>
    <w:p>
      <w:pPr>
        <w:pStyle w:val="Heading1"/>
      </w:pPr>
      <w:r>
        <w:t>Pricing rationale and sequence</w:t>
      </w:r>
    </w:p>
    <w:p>
      <w:pPr/>
      <w:r>
        <w:t>Keep creation, manual writing, basic AI help and a simple card free during the pilot. A paid gate before the first message would reduce the host-to-guest sharing loop we need to measure. The $4.99 premium card is a proposed discretionary upgrade for extra design choices and higher-quality export. The optional polished event book costs $15 for 0–99 included entries, $30 for 100–299, and $79 for 300 or more. One approved note or card submission included in the final book counts as one entry, with attached photos included; a guest list, link opens and gifts do not count. No one is blocked at 100 or 300. Show the live projected price; quote and charge the final tier only after card/note/photo submissions close at day 90. A basic CardVault export remains free. The host can decline the polished book. These are test prices, not observed willingness to pay.</w:t>
      </w:r>
    </w:p>
    <w:p>
      <w:pPr>
        <w:pStyle w:val="Heading1"/>
        <w:pageBreakBefore/>
      </w:pPr>
      <w:r>
        <w:t>Potential revenue structures beyond the base case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243B4D"/>
          </w:tcPr>
          <w:p>
            <w:r>
              <w:rPr>
                <w:b/>
                <w:color w:val="FFFFFF"/>
                <w:sz w:val="16"/>
              </w:rPr>
              <w:t>Option</w:t>
            </w:r>
          </w:p>
        </w:tc>
        <w:tc>
          <w:tcPr>
            <w:tcW w:type="dxa" w:w="3331"/>
            <w:shd w:fill="243B4D"/>
          </w:tcPr>
          <w:p>
            <w:r>
              <w:rPr>
                <w:b/>
                <w:color w:val="FFFFFF"/>
                <w:sz w:val="16"/>
              </w:rPr>
              <w:t>Proposed customer price</w:t>
            </w:r>
          </w:p>
        </w:tc>
        <w:tc>
          <w:tcPr>
            <w:tcW w:type="dxa" w:w="3331"/>
            <w:shd w:fill="243B4D"/>
          </w:tcPr>
          <w:p>
            <w:r>
              <w:rPr>
                <w:b/>
                <w:color w:val="FFFFFF"/>
                <w:sz w:val="16"/>
              </w:rPr>
              <w:t>Decision and cost exposure</w:t>
            </w:r>
          </w:p>
        </w:tc>
      </w:tr>
      <w:tr>
        <w:tc>
          <w:tcPr>
            <w:tcW w:type="dxa" w:w="2232"/>
            <w:vAlign w:val="center"/>
          </w:tcPr>
          <w:p>
            <w:pPr>
              <w:spacing w:after="20"/>
            </w:pPr>
            <w:r>
              <w:rPr>
                <w:sz w:val="15"/>
              </w:rPr>
              <w:t>Premium AI note rewrite</w:t>
            </w:r>
          </w:p>
        </w:tc>
        <w:tc>
          <w:tcPr>
            <w:tcW w:type="dxa" w:w="1800"/>
            <w:vAlign w:val="center"/>
          </w:tcPr>
          <w:p>
            <w:pPr>
              <w:spacing w:after="20"/>
            </w:pPr>
            <w:r>
              <w:rPr>
                <w:sz w:val="15"/>
              </w:rPr>
              <w:t>$2.99 test only</w:t>
            </w:r>
          </w:p>
        </w:tc>
        <w:tc>
          <w:tcPr>
            <w:tcW w:type="dxa" w:w="5760"/>
            <w:vAlign w:val="center"/>
          </w:tcPr>
          <w:p>
            <w:pPr>
              <w:spacing w:after="20"/>
            </w:pPr>
            <w:r>
              <w:rPr>
                <w:sz w:val="15"/>
              </w:rPr>
              <w:t>Could charge for advanced tones/rewrite bundles. Domestic-card fee would be $0.38671 plus tiny AI cost, but a paywall may reduce free sharing; defer until conversion evidence.</w:t>
            </w:r>
          </w:p>
        </w:tc>
      </w:tr>
      <w:tr>
        <w:tc>
          <w:tcPr>
            <w:tcW w:type="dxa" w:w="2232"/>
            <w:vAlign w:val="center"/>
            <w:shd w:fill="F1F4F6"/>
          </w:tcPr>
          <w:p>
            <w:pPr>
              <w:spacing w:after="20"/>
            </w:pPr>
            <w:r>
              <w:rPr>
                <w:sz w:val="15"/>
              </w:rPr>
              <w:t>Premium card</w:t>
            </w:r>
          </w:p>
        </w:tc>
        <w:tc>
          <w:tcPr>
            <w:tcW w:type="dxa" w:w="1800"/>
            <w:vAlign w:val="center"/>
            <w:shd w:fill="F1F4F6"/>
          </w:tcPr>
          <w:p>
            <w:pPr>
              <w:spacing w:after="20"/>
            </w:pPr>
            <w:r>
              <w:rPr>
                <w:sz w:val="15"/>
              </w:rPr>
              <w:t>$4.99 test price</w:t>
            </w:r>
          </w:p>
        </w:tc>
        <w:tc>
          <w:tcPr>
            <w:tcW w:type="dxa" w:w="5760"/>
            <w:vAlign w:val="center"/>
            <w:shd w:fill="F1F4F6"/>
          </w:tcPr>
          <w:p>
            <w:pPr>
              <w:spacing w:after="20"/>
            </w:pPr>
            <w:r>
              <w:rPr>
                <w:sz w:val="15"/>
              </w:rPr>
              <w:t>Included in base scenarios; measure paid attach rate and image spend.</w:t>
            </w:r>
          </w:p>
        </w:tc>
      </w:tr>
      <w:tr>
        <w:tc>
          <w:tcPr>
            <w:tcW w:type="dxa" w:w="2232"/>
            <w:vAlign w:val="center"/>
          </w:tcPr>
          <w:p>
            <w:pPr>
              <w:spacing w:after="20"/>
            </w:pPr>
            <w:r>
              <w:rPr>
                <w:sz w:val="15"/>
              </w:rPr>
              <w:t>Premium event book</w:t>
            </w:r>
          </w:p>
        </w:tc>
        <w:tc>
          <w:tcPr>
            <w:tcW w:type="dxa" w:w="1800"/>
            <w:vAlign w:val="center"/>
          </w:tcPr>
          <w:p>
            <w:r>
              <w:t>$15 / $30 / $79 test tiers</w:t>
            </w:r>
          </w:p>
        </w:tc>
        <w:tc>
          <w:tcPr>
            <w:tcW w:type="dxa" w:w="5760"/>
            <w:vAlign w:val="center"/>
          </w:tcPr>
          <w:p>
            <w:r>
              <w:t>One optional purchase per event, based on 0–99 / 100–299 / 300+ consented entries included at checkout after day 90. Size mix and purchase rate drive revenue.</w:t>
            </w:r>
          </w:p>
        </w:tc>
      </w:tr>
      <w:tr>
        <w:tc>
          <w:tcPr>
            <w:tcW w:type="dxa" w:w="2232"/>
            <w:vAlign w:val="center"/>
            <w:shd w:fill="F1F4F6"/>
          </w:tcPr>
          <w:p>
            <w:pPr>
              <w:spacing w:after="20"/>
            </w:pPr>
            <w:r>
              <w:rPr>
                <w:sz w:val="15"/>
              </w:rPr>
              <w:t>Integrated gift fee</w:t>
            </w:r>
          </w:p>
        </w:tc>
        <w:tc>
          <w:tcPr>
            <w:tcW w:type="dxa" w:w="1800"/>
            <w:vAlign w:val="center"/>
            <w:shd w:fill="F1F4F6"/>
          </w:tcPr>
          <w:p>
            <w:pPr>
              <w:spacing w:after="20"/>
            </w:pPr>
            <w:r>
              <w:rPr>
                <w:sz w:val="15"/>
              </w:rPr>
              <w:t>3% legacy example; 5% sensitivity</w:t>
            </w:r>
          </w:p>
        </w:tc>
        <w:tc>
          <w:tcPr>
            <w:tcW w:type="dxa" w:w="5760"/>
            <w:vAlign w:val="center"/>
            <w:shd w:fill="F1F4F6"/>
          </w:tcPr>
          <w:p>
            <w:pPr>
              <w:spacing w:after="20"/>
            </w:pPr>
            <w:r>
              <w:rPr>
                <w:sz w:val="15"/>
              </w:rPr>
              <w:t>Only with provider approval. At 3% the $100 gift case loses $0.296; 5% yields $1.64 before support under the same 3.2% processing assumption.</w:t>
            </w:r>
          </w:p>
        </w:tc>
      </w:tr>
      <w:tr>
        <w:tc>
          <w:tcPr>
            <w:tcW w:type="dxa" w:w="2232"/>
            <w:vAlign w:val="center"/>
          </w:tcPr>
          <w:p>
            <w:pPr>
              <w:spacing w:after="20"/>
            </w:pPr>
            <w:r>
              <w:rPr>
                <w:sz w:val="15"/>
              </w:rPr>
              <w:t>Repeat-host or planner plan</w:t>
            </w:r>
          </w:p>
        </w:tc>
        <w:tc>
          <w:tcPr>
            <w:tcW w:type="dxa" w:w="1800"/>
            <w:vAlign w:val="center"/>
          </w:tcPr>
          <w:p>
            <w:pPr>
              <w:spacing w:after="20"/>
            </w:pPr>
            <w:r>
              <w:rPr>
                <w:sz w:val="15"/>
              </w:rPr>
              <w:t>Price to test, no assumption</w:t>
            </w:r>
          </w:p>
        </w:tc>
        <w:tc>
          <w:tcPr>
            <w:tcW w:type="dxa" w:w="5760"/>
            <w:vAlign w:val="center"/>
          </w:tcPr>
          <w:p>
            <w:pPr>
              <w:spacing w:after="20"/>
            </w:pPr>
            <w:r>
              <w:rPr>
                <w:sz w:val="15"/>
              </w:rPr>
              <w:t>Potential subscription for multiple occasion pages, branding and analytics; seasonal use and support may limit retention.</w:t>
            </w:r>
          </w:p>
        </w:tc>
      </w:tr>
      <w:tr>
        <w:tc>
          <w:tcPr>
            <w:tcW w:type="dxa" w:w="2232"/>
            <w:vAlign w:val="center"/>
            <w:shd w:fill="F1F4F6"/>
          </w:tcPr>
          <w:p>
            <w:pPr>
              <w:spacing w:after="20"/>
            </w:pPr>
            <w:r>
              <w:rPr>
                <w:sz w:val="15"/>
              </w:rPr>
              <w:t>Printed keepsake or licensed music add-on</w:t>
            </w:r>
          </w:p>
        </w:tc>
        <w:tc>
          <w:tcPr>
            <w:tcW w:type="dxa" w:w="1800"/>
            <w:vAlign w:val="center"/>
            <w:shd w:fill="F1F4F6"/>
          </w:tcPr>
          <w:p>
            <w:pPr>
              <w:spacing w:after="20"/>
            </w:pPr>
            <w:r>
              <w:rPr>
                <w:sz w:val="15"/>
              </w:rPr>
              <w:t>Quote first</w:t>
            </w:r>
          </w:p>
        </w:tc>
        <w:tc>
          <w:tcPr>
            <w:tcW w:type="dxa" w:w="5760"/>
            <w:vAlign w:val="center"/>
            <w:shd w:fill="F1F4F6"/>
          </w:tcPr>
          <w:p>
            <w:pPr>
              <w:spacing w:after="20"/>
            </w:pPr>
            <w:r>
              <w:rPr>
                <w:sz w:val="15"/>
              </w:rPr>
              <w:t>Manufacturing, shipping, returns and music composition/master rights are unquoted; absent from scenarios.</w:t>
            </w:r>
          </w:p>
        </w:tc>
      </w:tr>
      <w:tr>
        <w:tc>
          <w:tcPr>
            <w:tcW w:type="dxa" w:w="2232"/>
            <w:vAlign w:val="center"/>
          </w:tcPr>
          <w:p>
            <w:pPr>
              <w:spacing w:after="20"/>
            </w:pPr>
            <w:r>
              <w:rPr>
                <w:sz w:val="15"/>
              </w:rPr>
              <w:t>Venue or planner distribution fee</w:t>
            </w:r>
          </w:p>
        </w:tc>
        <w:tc>
          <w:tcPr>
            <w:tcW w:type="dxa" w:w="1800"/>
            <w:vAlign w:val="center"/>
          </w:tcPr>
          <w:p>
            <w:pPr>
              <w:spacing w:after="20"/>
            </w:pPr>
            <w:r>
              <w:rPr>
                <w:sz w:val="15"/>
              </w:rPr>
              <w:t>Contract to test</w:t>
            </w:r>
          </w:p>
        </w:tc>
        <w:tc>
          <w:tcPr>
            <w:tcW w:type="dxa" w:w="5760"/>
            <w:vAlign w:val="center"/>
          </w:tcPr>
          <w:p>
            <w:pPr>
              <w:spacing w:after="20"/>
            </w:pPr>
            <w:r>
              <w:rPr>
                <w:sz w:val="15"/>
              </w:rPr>
              <w:t>Referral or white-label economics depend on channel agreements; not included in projections.</w:t>
            </w:r>
          </w:p>
        </w:tc>
      </w:tr>
    </w:tbl>
    <w:p>
      <w:pPr/>
      <w:r>
        <w:t>Do not assume a 3% gift fee will subsidize free content. At $100, 3% produces $3 while the existing 3.2%-of-$103 processing assumption costs $3.296. A 5% fee would yield $5 against $3.36 in processing, or $1.64 before support, but could lower gift conversion and might not be permitted by the provider. Obtain an approved funds flow, fee allocation and disclosure terms first. The base scenarios use only premium card and book revenue.</w:t>
      </w:r>
    </w:p>
    <w:p>
      <w:pPr>
        <w:pStyle w:val="Heading1"/>
      </w:pPr>
      <w:r>
        <w:t>Per card and per purchase calculations</w:t>
      </w:r>
    </w:p>
    <w:p>
      <w:pPr/>
      <w:r>
        <w:t>The baseline assumes each completed free card produces 0.4 AI text requests, 0.2 generated images, 0.2 stored photos and $0.005 of delivery/traffic allowance. One AI text request uses 1,500 input and 450 output tokens at GPT-6 Luna standard rates of $0.10 and $0.50 per million, respectively: $0.000375. For image generation, the current GPT Image 2 guide lists $0.053 output for a medium 1024×1024 image; $0.06 per image is a planning allowance for output plus a small input buffer, not a guaranteed price. Photos at $0.01 and traffic at $0.005 are internal reserves, not vendor quotes. [1][2]</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45"/>
            <w:shd w:fill="243B4D"/>
          </w:tcPr>
          <w:p>
            <w:pPr>
              <w:spacing w:after="20"/>
            </w:pPr>
            <w:r>
              <w:rPr>
                <w:b/>
                <w:color w:val="FFFFFF"/>
                <w:sz w:val="16"/>
              </w:rPr>
              <w:t>Unit</w:t>
            </w:r>
          </w:p>
        </w:tc>
        <w:tc>
          <w:tcPr>
            <w:tcW w:type="dxa" w:w="1094"/>
            <w:shd w:fill="243B4D"/>
          </w:tcPr>
          <w:p>
            <w:pPr>
              <w:spacing w:after="20"/>
            </w:pPr>
            <w:r>
              <w:rPr>
                <w:b/>
                <w:color w:val="FFFFFF"/>
                <w:sz w:val="16"/>
              </w:rPr>
              <w:t>Revenue</w:t>
            </w:r>
          </w:p>
        </w:tc>
        <w:tc>
          <w:tcPr>
            <w:tcW w:type="dxa" w:w="4968"/>
            <w:shd w:fill="243B4D"/>
          </w:tcPr>
          <w:p>
            <w:pPr>
              <w:spacing w:after="20"/>
            </w:pPr>
            <w:r>
              <w:rPr>
                <w:b/>
                <w:color w:val="FFFFFF"/>
                <w:sz w:val="16"/>
              </w:rPr>
              <w:t>Expense formula</w:t>
            </w:r>
          </w:p>
        </w:tc>
        <w:tc>
          <w:tcPr>
            <w:tcW w:type="dxa" w:w="1685"/>
            <w:shd w:fill="243B4D"/>
          </w:tcPr>
          <w:p>
            <w:pPr>
              <w:spacing w:after="20"/>
            </w:pPr>
            <w:r>
              <w:rPr>
                <w:b/>
                <w:color w:val="FFFFFF"/>
                <w:sz w:val="16"/>
              </w:rPr>
              <w:t>Contribution</w:t>
            </w:r>
          </w:p>
        </w:tc>
      </w:tr>
      <w:tr>
        <w:tc>
          <w:tcPr>
            <w:tcW w:type="dxa" w:w="2045"/>
            <w:vAlign w:val="center"/>
          </w:tcPr>
          <w:p>
            <w:pPr>
              <w:spacing w:after="20"/>
            </w:pPr>
            <w:r>
              <w:rPr>
                <w:b/>
                <w:sz w:val="16"/>
              </w:rPr>
              <w:t>Free completed card</w:t>
            </w:r>
          </w:p>
        </w:tc>
        <w:tc>
          <w:tcPr>
            <w:tcW w:type="dxa" w:w="1094"/>
            <w:vAlign w:val="center"/>
          </w:tcPr>
          <w:p>
            <w:pPr>
              <w:spacing w:after="20"/>
            </w:pPr>
            <w:r>
              <w:rPr>
                <w:sz w:val="16"/>
              </w:rPr>
              <w:t>$0</w:t>
            </w:r>
          </w:p>
        </w:tc>
        <w:tc>
          <w:tcPr>
            <w:tcW w:type="dxa" w:w="4968"/>
            <w:vAlign w:val="center"/>
          </w:tcPr>
          <w:p>
            <w:pPr>
              <w:spacing w:after="20"/>
            </w:pPr>
            <w:r>
              <w:rPr>
                <w:sz w:val="16"/>
              </w:rPr>
              <w:t>0.4 × $0.000375 + 0.2 × $0.06 + 0.2 × $0.01 + $0.005 = $0.01915</w:t>
            </w:r>
          </w:p>
        </w:tc>
        <w:tc>
          <w:tcPr>
            <w:tcW w:type="dxa" w:w="1685"/>
            <w:vAlign w:val="center"/>
          </w:tcPr>
          <w:p>
            <w:pPr>
              <w:spacing w:after="20"/>
            </w:pPr>
            <w:r>
              <w:rPr>
                <w:sz w:val="16"/>
              </w:rPr>
              <w:t>−$0.01915</w:t>
            </w:r>
          </w:p>
        </w:tc>
      </w:tr>
      <w:tr>
        <w:tc>
          <w:tcPr>
            <w:tcW w:type="dxa" w:w="2045"/>
            <w:vAlign w:val="center"/>
            <w:shd w:fill="F1F4F6"/>
          </w:tcPr>
          <w:p>
            <w:pPr>
              <w:spacing w:after="20"/>
            </w:pPr>
            <w:r>
              <w:rPr>
                <w:b/>
                <w:sz w:val="16"/>
              </w:rPr>
              <w:t>Paid premium card increment</w:t>
            </w:r>
          </w:p>
        </w:tc>
        <w:tc>
          <w:tcPr>
            <w:tcW w:type="dxa" w:w="1094"/>
            <w:vAlign w:val="center"/>
            <w:shd w:fill="F1F4F6"/>
          </w:tcPr>
          <w:p>
            <w:pPr>
              <w:spacing w:after="20"/>
            </w:pPr>
            <w:r>
              <w:rPr>
                <w:sz w:val="16"/>
              </w:rPr>
              <w:t>$4.99</w:t>
            </w:r>
          </w:p>
        </w:tc>
        <w:tc>
          <w:tcPr>
            <w:tcW w:type="dxa" w:w="4968"/>
            <w:vAlign w:val="center"/>
            <w:shd w:fill="F1F4F6"/>
          </w:tcPr>
          <w:p>
            <w:pPr>
              <w:spacing w:after="20"/>
            </w:pPr>
            <w:r>
              <w:rPr>
                <w:sz w:val="16"/>
              </w:rPr>
              <w:t>Stripe $4.99 × 2.9% + $0.30 = $0.44471; two extra images $0.12; extra fulfillment $0.01. Total $0.57471.</w:t>
            </w:r>
          </w:p>
        </w:tc>
        <w:tc>
          <w:tcPr>
            <w:tcW w:type="dxa" w:w="1685"/>
            <w:vAlign w:val="center"/>
            <w:shd w:fill="F1F4F6"/>
          </w:tcPr>
          <w:p>
            <w:pPr>
              <w:spacing w:after="20"/>
            </w:pPr>
            <w:r>
              <w:rPr>
                <w:sz w:val="16"/>
              </w:rPr>
              <w:t>+$4.41529 above free-card cost</w:t>
            </w:r>
          </w:p>
        </w:tc>
      </w:tr>
      <w:tr>
        <w:tc>
          <w:tcPr>
            <w:tcW w:type="dxa" w:w="2045"/>
            <w:vAlign w:val="center"/>
          </w:tcPr>
          <w:p>
            <w:r>
              <w:t>Premium book purchase</w:t>
            </w:r>
          </w:p>
        </w:tc>
        <w:tc>
          <w:tcPr>
            <w:tcW w:type="dxa" w:w="1094"/>
            <w:vAlign w:val="center"/>
          </w:tcPr>
          <w:p>
            <w:r>
              <w:t>$15 / $30 / $79</w:t>
            </w:r>
          </w:p>
        </w:tc>
        <w:tc>
          <w:tcPr>
            <w:tcW w:type="dxa" w:w="4968"/>
            <w:vAlign w:val="center"/>
          </w:tcPr>
          <w:p>
            <w:r>
              <w:t>2.9% × sale + $0.30 processing + $0.05 export = $0.785 / $1.22 / $2.641.</w:t>
            </w:r>
          </w:p>
        </w:tc>
        <w:tc>
          <w:tcPr>
            <w:tcW w:type="dxa" w:w="1685"/>
            <w:vAlign w:val="center"/>
          </w:tcPr>
          <w:p>
            <w:r>
              <w:t>+$14.215 / +$28.78 / +$76.359</w:t>
            </w:r>
          </w:p>
        </w:tc>
      </w:tr>
      <w:tr>
        <w:tc>
          <w:tcPr>
            <w:tcW w:type="dxa" w:w="2045"/>
            <w:vAlign w:val="center"/>
            <w:shd w:fill="F1F4F6"/>
          </w:tcPr>
          <w:p>
            <w:pPr>
              <w:spacing w:after="20"/>
            </w:pPr>
            <w:r>
              <w:rPr>
                <w:b/>
                <w:sz w:val="16"/>
              </w:rPr>
              <w:t>Illustrative integrated $100 gift</w:t>
            </w:r>
          </w:p>
        </w:tc>
        <w:tc>
          <w:tcPr>
            <w:tcW w:type="dxa" w:w="1094"/>
            <w:vAlign w:val="center"/>
            <w:shd w:fill="F1F4F6"/>
          </w:tcPr>
          <w:p>
            <w:pPr>
              <w:spacing w:after="20"/>
            </w:pPr>
            <w:r>
              <w:rPr>
                <w:sz w:val="16"/>
              </w:rPr>
              <w:t>$3 fee on top of $100 principal</w:t>
            </w:r>
          </w:p>
        </w:tc>
        <w:tc>
          <w:tcPr>
            <w:tcW w:type="dxa" w:w="4968"/>
            <w:vAlign w:val="center"/>
            <w:shd w:fill="F1F4F6"/>
          </w:tcPr>
          <w:p>
            <w:pPr>
              <w:spacing w:after="20"/>
            </w:pPr>
            <w:r>
              <w:rPr>
                <w:sz w:val="16"/>
              </w:rPr>
              <w:t>3.2% × $103 = $3.296 planning processing. No fixed fee double-counted.</w:t>
            </w:r>
          </w:p>
        </w:tc>
        <w:tc>
          <w:tcPr>
            <w:tcW w:type="dxa" w:w="1685"/>
            <w:vAlign w:val="center"/>
            <w:shd w:fill="F1F4F6"/>
          </w:tcPr>
          <w:p>
            <w:pPr>
              <w:spacing w:after="20"/>
            </w:pPr>
            <w:r>
              <w:rPr>
                <w:sz w:val="16"/>
              </w:rPr>
              <w:t>−$0.296 before disputes/minimum</w:t>
            </w:r>
          </w:p>
        </w:tc>
      </w:tr>
    </w:tbl>
    <w:p/>
    <w:p>
      <w:pPr/>
      <w:r>
        <w:t>A paid card is counted once among all completed cards. The $0.57471 is an incremental cost added to the expected $0.01915 base card. Book tiers use the same standalone purchase benchmark and a $0.05 export allowance; sales tax, refunds, long-term media storage and overage costs are excluded. Actual methods and negotiated terms may differ. This is not approval to use Stripe for recipient gift funds. [3]</w:t>
      </w:r>
    </w:p>
    <w:p>
      <w:pPr>
        <w:pStyle w:val="Heading1"/>
      </w:pPr>
      <w:r>
        <w:t>Monthly services and operating expense register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1944"/>
            <w:shd w:fill="243B4D"/>
          </w:tcPr>
          <w:p>
            <w:pPr>
              <w:spacing w:after="20"/>
            </w:pPr>
            <w:r>
              <w:rPr>
                <w:b/>
                <w:color w:val="FFFFFF"/>
                <w:sz w:val="15"/>
              </w:rPr>
              <w:t>Cost line</w:t>
            </w:r>
          </w:p>
        </w:tc>
        <w:tc>
          <w:tcPr>
            <w:tcW w:type="dxa" w:w="3427"/>
            <w:shd w:fill="243B4D"/>
          </w:tcPr>
          <w:p>
            <w:pPr>
              <w:spacing w:after="20"/>
            </w:pPr>
            <w:r>
              <w:rPr>
                <w:b/>
                <w:color w:val="FFFFFF"/>
                <w:sz w:val="15"/>
              </w:rPr>
              <w:t>Published or planning rate</w:t>
            </w:r>
          </w:p>
        </w:tc>
        <w:tc>
          <w:tcPr>
            <w:tcW w:type="dxa" w:w="4421"/>
            <w:shd w:fill="243B4D"/>
          </w:tcPr>
          <w:p>
            <w:pPr>
              <w:spacing w:after="20"/>
            </w:pPr>
            <w:r>
              <w:rPr>
                <w:b/>
                <w:color w:val="FFFFFF"/>
                <w:sz w:val="15"/>
              </w:rPr>
              <w:t>Included in model / source</w:t>
            </w:r>
          </w:p>
        </w:tc>
      </w:tr>
      <w:tr>
        <w:tc>
          <w:tcPr>
            <w:tcW w:type="dxa" w:w="1944"/>
            <w:vAlign w:val="center"/>
          </w:tcPr>
          <w:p>
            <w:pPr>
              <w:spacing w:after="20"/>
            </w:pPr>
            <w:r>
              <w:rPr>
                <w:b/>
                <w:sz w:val="15"/>
              </w:rPr>
              <w:t>Web hosting</w:t>
            </w:r>
          </w:p>
        </w:tc>
        <w:tc>
          <w:tcPr>
            <w:tcW w:type="dxa" w:w="3427"/>
            <w:vAlign w:val="center"/>
          </w:tcPr>
          <w:p>
            <w:pPr>
              <w:spacing w:after="20"/>
            </w:pPr>
            <w:r>
              <w:rPr>
                <w:sz w:val="15"/>
              </w:rPr>
              <w:t>Vercel Pro $20/month; $20 usage credit, overages possible.</w:t>
            </w:r>
          </w:p>
        </w:tc>
        <w:tc>
          <w:tcPr>
            <w:tcW w:type="dxa" w:w="4421"/>
            <w:vAlign w:val="center"/>
          </w:tcPr>
          <w:p>
            <w:pPr>
              <w:spacing w:after="20"/>
            </w:pPr>
            <w:r>
              <w:rPr>
                <w:sz w:val="15"/>
              </w:rPr>
              <w:t>Fixed $20. https://vercel.com/pricing [4]</w:t>
            </w:r>
          </w:p>
        </w:tc>
      </w:tr>
      <w:tr>
        <w:tc>
          <w:tcPr>
            <w:tcW w:type="dxa" w:w="1944"/>
            <w:vAlign w:val="center"/>
            <w:shd w:fill="F1F4F6"/>
          </w:tcPr>
          <w:p>
            <w:pPr>
              <w:spacing w:after="20"/>
            </w:pPr>
            <w:r>
              <w:rPr>
                <w:b/>
                <w:sz w:val="15"/>
              </w:rPr>
              <w:t>Database, auth, private media</w:t>
            </w:r>
          </w:p>
        </w:tc>
        <w:tc>
          <w:tcPr>
            <w:tcW w:type="dxa" w:w="3427"/>
            <w:vAlign w:val="center"/>
            <w:shd w:fill="F1F4F6"/>
          </w:tcPr>
          <w:p>
            <w:pPr>
              <w:spacing w:after="20"/>
            </w:pPr>
            <w:r>
              <w:rPr>
                <w:sz w:val="15"/>
              </w:rPr>
              <w:t>Supabase Pro $25/month for plan; usage/compute/storage overages possible.</w:t>
            </w:r>
          </w:p>
        </w:tc>
        <w:tc>
          <w:tcPr>
            <w:tcW w:type="dxa" w:w="4421"/>
            <w:vAlign w:val="center"/>
            <w:shd w:fill="F1F4F6"/>
          </w:tcPr>
          <w:p>
            <w:pPr>
              <w:spacing w:after="20"/>
            </w:pPr>
            <w:r>
              <w:rPr>
                <w:sz w:val="15"/>
              </w:rPr>
              <w:t>Fixed $25. https://supabase.com/pricing [5]</w:t>
            </w:r>
          </w:p>
        </w:tc>
      </w:tr>
      <w:tr>
        <w:tc>
          <w:tcPr>
            <w:tcW w:type="dxa" w:w="1944"/>
            <w:vAlign w:val="center"/>
          </w:tcPr>
          <w:p>
            <w:pPr>
              <w:spacing w:after="20"/>
            </w:pPr>
            <w:r>
              <w:rPr>
                <w:b/>
                <w:sz w:val="15"/>
              </w:rPr>
              <w:t>Transactional email</w:t>
            </w:r>
          </w:p>
        </w:tc>
        <w:tc>
          <w:tcPr>
            <w:tcW w:type="dxa" w:w="3427"/>
            <w:vAlign w:val="center"/>
          </w:tcPr>
          <w:p>
            <w:pPr>
              <w:spacing w:after="20"/>
            </w:pPr>
            <w:r>
              <w:rPr>
                <w:sz w:val="15"/>
              </w:rPr>
              <w:t>Resend free 3,000/month, 100/day; Pro $20/month for 50,000, then $0.90/1,000.</w:t>
            </w:r>
          </w:p>
        </w:tc>
        <w:tc>
          <w:tcPr>
            <w:tcW w:type="dxa" w:w="4421"/>
            <w:vAlign w:val="center"/>
          </w:tcPr>
          <w:p>
            <w:pPr>
              <w:spacing w:after="20"/>
            </w:pPr>
            <w:r>
              <w:rPr>
                <w:sz w:val="15"/>
              </w:rPr>
              <w:t>Fixed $0 at pilot scale, $20 for okay/best. https://resend.com/pricing [6]</w:t>
            </w:r>
          </w:p>
        </w:tc>
      </w:tr>
      <w:tr>
        <w:tc>
          <w:tcPr>
            <w:tcW w:type="dxa" w:w="1944"/>
            <w:vAlign w:val="center"/>
            <w:shd w:fill="F1F4F6"/>
          </w:tcPr>
          <w:p>
            <w:pPr>
              <w:spacing w:after="20"/>
            </w:pPr>
            <w:r>
              <w:rPr>
                <w:b/>
                <w:sz w:val="15"/>
              </w:rPr>
              <w:t>Domain and TLS</w:t>
            </w:r>
          </w:p>
        </w:tc>
        <w:tc>
          <w:tcPr>
            <w:tcW w:type="dxa" w:w="3427"/>
            <w:vAlign w:val="center"/>
            <w:shd w:fill="F1F4F6"/>
          </w:tcPr>
          <w:p>
            <w:r>
              <w:t>Namecheap lists .com renewal at $18.48/year; budget $24/year ($2/month) including price/tax buffer.</w:t>
            </w:r>
          </w:p>
        </w:tc>
        <w:tc>
          <w:tcPr>
            <w:tcW w:type="dxa" w:w="4421"/>
            <w:vAlign w:val="center"/>
            <w:shd w:fill="F1F4F6"/>
          </w:tcPr>
          <w:p>
            <w:r>
              <w:t>Fixed $2 budget; https://www.namecheap.com/domains/registration/gtld/com/ [11]</w:t>
            </w:r>
          </w:p>
        </w:tc>
      </w:tr>
      <w:tr>
        <w:tc>
          <w:tcPr>
            <w:tcW w:type="dxa" w:w="1944"/>
            <w:vAlign w:val="center"/>
          </w:tcPr>
          <w:p>
            <w:pPr>
              <w:spacing w:after="20"/>
            </w:pPr>
            <w:r>
              <w:rPr>
                <w:b/>
                <w:sz w:val="15"/>
              </w:rPr>
              <w:t>Storage/bandwidth/backup overage</w:t>
            </w:r>
          </w:p>
        </w:tc>
        <w:tc>
          <w:tcPr>
            <w:tcW w:type="dxa" w:w="3427"/>
            <w:vAlign w:val="center"/>
          </w:tcPr>
          <w:p>
            <w:pPr>
              <w:spacing w:after="20"/>
            </w:pPr>
            <w:r>
              <w:rPr>
                <w:sz w:val="15"/>
              </w:rPr>
              <w:t>Internal $10/month reserve; plus $0.005 per card delivery/traffic.</w:t>
            </w:r>
          </w:p>
        </w:tc>
        <w:tc>
          <w:tcPr>
            <w:tcW w:type="dxa" w:w="4421"/>
            <w:vAlign w:val="center"/>
          </w:tcPr>
          <w:p>
            <w:pPr>
              <w:spacing w:after="20"/>
            </w:pPr>
            <w:r>
              <w:rPr>
                <w:sz w:val="15"/>
              </w:rPr>
              <w:t>Fixed $10 and card allowance; not a vendor quote; compare bills.</w:t>
            </w:r>
          </w:p>
        </w:tc>
      </w:tr>
      <w:tr>
        <w:tc>
          <w:tcPr>
            <w:tcW w:type="dxa" w:w="1944"/>
            <w:vAlign w:val="center"/>
            <w:shd w:fill="F1F4F6"/>
          </w:tcPr>
          <w:p>
            <w:pPr>
              <w:spacing w:after="20"/>
            </w:pPr>
            <w:r>
              <w:rPr>
                <w:b/>
                <w:sz w:val="15"/>
              </w:rPr>
              <w:t>AI notes</w:t>
            </w:r>
          </w:p>
        </w:tc>
        <w:tc>
          <w:tcPr>
            <w:tcW w:type="dxa" w:w="3427"/>
            <w:vAlign w:val="center"/>
            <w:shd w:fill="F1F4F6"/>
          </w:tcPr>
          <w:p>
            <w:pPr>
              <w:spacing w:after="20"/>
            </w:pPr>
            <w:r>
              <w:rPr>
                <w:sz w:val="15"/>
              </w:rPr>
              <w:t>GPT-6 Luna $0.10/1M input, $0.50/1M output.</w:t>
            </w:r>
          </w:p>
        </w:tc>
        <w:tc>
          <w:tcPr>
            <w:tcW w:type="dxa" w:w="4421"/>
            <w:vAlign w:val="center"/>
            <w:shd w:fill="F1F4F6"/>
          </w:tcPr>
          <w:p>
            <w:pPr>
              <w:spacing w:after="20"/>
            </w:pPr>
            <w:r>
              <w:rPr>
                <w:sz w:val="15"/>
              </w:rPr>
              <w:t>Per request $0.000375. https://developers.openai.com/api/docs/models/gpt-6-luna [1]</w:t>
            </w:r>
          </w:p>
        </w:tc>
      </w:tr>
      <w:tr>
        <w:tc>
          <w:tcPr>
            <w:tcW w:type="dxa" w:w="1944"/>
            <w:vAlign w:val="center"/>
          </w:tcPr>
          <w:p>
            <w:pPr>
              <w:spacing w:after="20"/>
            </w:pPr>
            <w:r>
              <w:rPr>
                <w:b/>
                <w:sz w:val="15"/>
              </w:rPr>
              <w:t>AI artwork</w:t>
            </w:r>
          </w:p>
        </w:tc>
        <w:tc>
          <w:tcPr>
            <w:tcW w:type="dxa" w:w="3427"/>
            <w:vAlign w:val="center"/>
          </w:tcPr>
          <w:p>
            <w:pPr>
              <w:spacing w:after="20"/>
            </w:pPr>
            <w:r>
              <w:rPr>
                <w:sz w:val="15"/>
              </w:rPr>
              <w:t>GPT Image 2 medium square output example $0.053 plus prompt/input tokens.</w:t>
            </w:r>
          </w:p>
        </w:tc>
        <w:tc>
          <w:tcPr>
            <w:tcW w:type="dxa" w:w="4421"/>
            <w:vAlign w:val="center"/>
          </w:tcPr>
          <w:p>
            <w:pPr>
              <w:spacing w:after="20"/>
            </w:pPr>
            <w:r>
              <w:rPr>
                <w:sz w:val="15"/>
              </w:rPr>
              <w:t>Plan $0.06 per image; meter usage. https://developers.openai.com/api/docs/guides/image-generation [2]</w:t>
            </w:r>
          </w:p>
        </w:tc>
      </w:tr>
      <w:tr>
        <w:tc>
          <w:tcPr>
            <w:tcW w:type="dxa" w:w="1944"/>
            <w:vAlign w:val="center"/>
            <w:shd w:fill="F1F4F6"/>
          </w:tcPr>
          <w:p>
            <w:pPr>
              <w:spacing w:after="20"/>
            </w:pPr>
            <w:r>
              <w:rPr>
                <w:b/>
                <w:sz w:val="15"/>
              </w:rPr>
              <w:t>Standalone card/book checkout</w:t>
            </w:r>
          </w:p>
        </w:tc>
        <w:tc>
          <w:tcPr>
            <w:tcW w:type="dxa" w:w="3427"/>
            <w:vAlign w:val="center"/>
            <w:shd w:fill="F1F4F6"/>
          </w:tcPr>
          <w:p>
            <w:pPr>
              <w:spacing w:after="20"/>
            </w:pPr>
            <w:r>
              <w:rPr>
                <w:sz w:val="15"/>
              </w:rPr>
              <w:t>Stripe domestic cards 2.9% + $0.30 per successful transaction.</w:t>
            </w:r>
          </w:p>
        </w:tc>
        <w:tc>
          <w:tcPr>
            <w:tcW w:type="dxa" w:w="4421"/>
            <w:vAlign w:val="center"/>
            <w:shd w:fill="F1F4F6"/>
          </w:tcPr>
          <w:p>
            <w:pPr>
              <w:spacing w:after="20"/>
            </w:pPr>
            <w:r>
              <w:rPr>
                <w:sz w:val="15"/>
              </w:rPr>
              <w:t>Per sale above. https://stripe.com/pricing [3]</w:t>
            </w:r>
          </w:p>
        </w:tc>
      </w:tr>
      <w:tr>
        <w:tc>
          <w:tcPr>
            <w:tcW w:type="dxa" w:w="1944"/>
            <w:vAlign w:val="center"/>
          </w:tcPr>
          <w:p>
            <w:pPr>
              <w:spacing w:after="20"/>
            </w:pPr>
            <w:r>
              <w:rPr>
                <w:b/>
                <w:sz w:val="15"/>
              </w:rPr>
              <w:t>Music clips</w:t>
            </w:r>
          </w:p>
        </w:tc>
        <w:tc>
          <w:tcPr>
            <w:tcW w:type="dxa" w:w="3427"/>
            <w:vAlign w:val="center"/>
          </w:tcPr>
          <w:p>
            <w:pPr>
              <w:spacing w:after="20"/>
            </w:pPr>
            <w:r>
              <w:rPr>
                <w:sz w:val="15"/>
              </w:rPr>
              <w:t>Feed Clips offers pre-cleared in-app catalog; no public quote for this use.</w:t>
            </w:r>
          </w:p>
        </w:tc>
        <w:tc>
          <w:tcPr>
            <w:tcW w:type="dxa" w:w="4421"/>
            <w:vAlign w:val="center"/>
          </w:tcPr>
          <w:p>
            <w:pPr>
              <w:spacing w:after="20"/>
            </w:pPr>
            <w:r>
              <w:rPr>
                <w:sz w:val="15"/>
              </w:rPr>
              <w:t>Excluded; request setup, minimum, per play/use, territory and export terms. https://www.feed.fm/clips [7]</w:t>
            </w:r>
          </w:p>
        </w:tc>
      </w:tr>
    </w:tbl>
    <w:p/>
    <w:p>
      <w:pPr/>
      <w:r>
        <w:t>A low-volume software bill is $20 + $25 + $0 + $2 + $10 = $57/month; after switching email to Pro it is $77/month before usage overages. $57–$77 is the explicit line-item range used here. Support labor, acquisition, legal/compliance and contractor pay are added below, never silently included in that software subtotal.</w:t>
      </w:r>
    </w:p>
    <w:p>
      <w:pPr>
        <w:pStyle w:val="Heading1"/>
      </w:pPr>
      <w:r>
        <w:t>Creative, payment and exception costs</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059"/>
            <w:shd w:fill="243B4D"/>
          </w:tcPr>
          <w:p>
            <w:pPr>
              <w:spacing w:after="20"/>
            </w:pPr>
            <w:r>
              <w:rPr>
                <w:b/>
                <w:color w:val="FFFFFF"/>
                <w:sz w:val="15"/>
              </w:rPr>
              <w:t>Expense</w:t>
            </w:r>
          </w:p>
        </w:tc>
        <w:tc>
          <w:tcPr>
            <w:tcW w:type="dxa" w:w="7733"/>
            <w:shd w:fill="243B4D"/>
          </w:tcPr>
          <w:p>
            <w:pPr>
              <w:spacing w:after="20"/>
            </w:pPr>
            <w:r>
              <w:rPr>
                <w:b/>
                <w:color w:val="FFFFFF"/>
                <w:sz w:val="15"/>
              </w:rPr>
              <w:t>Cash treatment and evidence</w:t>
            </w:r>
          </w:p>
        </w:tc>
      </w:tr>
      <w:tr>
        <w:tc>
          <w:tcPr>
            <w:tcW w:type="dxa" w:w="2059"/>
            <w:vAlign w:val="center"/>
          </w:tcPr>
          <w:p>
            <w:pPr>
              <w:spacing w:after="20"/>
            </w:pPr>
            <w:r>
              <w:rPr>
                <w:b/>
                <w:sz w:val="15"/>
              </w:rPr>
              <w:t>Commissioned artwork</w:t>
            </w:r>
          </w:p>
        </w:tc>
        <w:tc>
          <w:tcPr>
            <w:tcW w:type="dxa" w:w="7733"/>
            <w:vAlign w:val="center"/>
          </w:tcPr>
          <w:p>
            <w:pPr>
              <w:spacing w:after="20"/>
            </w:pPr>
            <w:r>
              <w:rPr>
                <w:sz w:val="15"/>
              </w:rPr>
              <w:t>99designs illustration estimates $299–$1,499 per brief; four designs $1,196–$5,996 before tax/revisions. Optional, one-time. https://99designs.com/pricing/illustrations [8]</w:t>
            </w:r>
          </w:p>
        </w:tc>
      </w:tr>
      <w:tr>
        <w:tc>
          <w:tcPr>
            <w:tcW w:type="dxa" w:w="2059"/>
            <w:vAlign w:val="center"/>
            <w:shd w:fill="F1F4F6"/>
          </w:tcPr>
          <w:p>
            <w:pPr>
              <w:spacing w:after="20"/>
            </w:pPr>
            <w:r>
              <w:rPr>
                <w:b/>
                <w:sz w:val="15"/>
              </w:rPr>
              <w:t>Stock artwork</w:t>
            </w:r>
          </w:p>
        </w:tc>
        <w:tc>
          <w:tcPr>
            <w:tcW w:type="dxa" w:w="7733"/>
            <w:vAlign w:val="center"/>
            <w:shd w:fill="F1F4F6"/>
          </w:tcPr>
          <w:p>
            <w:pPr>
              <w:spacing w:after="20"/>
            </w:pPr>
            <w:r>
              <w:rPr>
                <w:sz w:val="15"/>
              </w:rPr>
              <w:t>Adobe Stock 10 standard assets $29.99/month on annual commitment. Sourcing benchmark only; standard rights may not cover reusable resale templates. Extended/enterprise rights need a quote. https://stock.adobe.com/Plans ; https://stock.adobe.com/license-terms [9]</w:t>
            </w:r>
          </w:p>
        </w:tc>
      </w:tr>
      <w:tr>
        <w:tc>
          <w:tcPr>
            <w:tcW w:type="dxa" w:w="2059"/>
            <w:vAlign w:val="center"/>
          </w:tcPr>
          <w:p>
            <w:pPr>
              <w:spacing w:after="20"/>
            </w:pPr>
            <w:r>
              <w:rPr>
                <w:b/>
                <w:sz w:val="15"/>
              </w:rPr>
              <w:t>Gift processing/provider minimum</w:t>
            </w:r>
          </w:p>
        </w:tc>
        <w:tc>
          <w:tcPr>
            <w:tcW w:type="dxa" w:w="7733"/>
            <w:vAlign w:val="center"/>
          </w:tcPr>
          <w:p>
            <w:pPr>
              <w:spacing w:after="20"/>
            </w:pPr>
            <w:r>
              <w:rPr>
                <w:sz w:val="15"/>
              </w:rPr>
              <w:t>The 3.2% integrated gift cost is a planning rate, not a quote. Moov publishes a $500 monthly minimum on its standard plan; whether fees credit toward it depends on a contract. Excluded from base scenarios. https://moov.io/pricing/ [10]</w:t>
            </w:r>
          </w:p>
        </w:tc>
      </w:tr>
      <w:tr>
        <w:tc>
          <w:tcPr>
            <w:tcW w:type="dxa" w:w="2059"/>
            <w:vAlign w:val="center"/>
            <w:shd w:fill="F1F4F6"/>
          </w:tcPr>
          <w:p>
            <w:pPr>
              <w:spacing w:after="20"/>
            </w:pPr>
            <w:r>
              <w:rPr>
                <w:b/>
                <w:sz w:val="15"/>
              </w:rPr>
              <w:t>Refunds, chargebacks, fraud</w:t>
            </w:r>
          </w:p>
        </w:tc>
        <w:tc>
          <w:tcPr>
            <w:tcW w:type="dxa" w:w="7733"/>
            <w:vAlign w:val="center"/>
            <w:shd w:fill="F1F4F6"/>
          </w:tcPr>
          <w:p>
            <w:r>
              <w:t>No loss rate is known. Track premium refunds/disputes and any misdirected external-gift complaints or support time separately. A disclaimer does not guarantee the business will avoid liability for its own app errors; have counsel review terms and screen copy.</w:t>
            </w:r>
          </w:p>
        </w:tc>
      </w:tr>
      <w:tr>
        <w:tc>
          <w:tcPr>
            <w:tcW w:type="dxa" w:w="2059"/>
            <w:vAlign w:val="center"/>
          </w:tcPr>
          <w:p>
            <w:pPr>
              <w:spacing w:after="20"/>
            </w:pPr>
            <w:r>
              <w:rPr>
                <w:b/>
                <w:sz w:val="15"/>
              </w:rPr>
              <w:t>Security and privacy</w:t>
            </w:r>
          </w:p>
        </w:tc>
        <w:tc>
          <w:tcPr>
            <w:tcW w:type="dxa" w:w="7733"/>
            <w:vAlign w:val="center"/>
          </w:tcPr>
          <w:p>
            <w:r>
              <w:t>The $500 friend-led scope includes destination double-entry, host authentication for edits, change alerts, versioned guest display, and wrong-destination/security/accessibility tests. No separate outside review is budgeted. Incident response and insurance remain unquoted future costs.</w:t>
            </w:r>
          </w:p>
        </w:tc>
      </w:tr>
    </w:tbl>
    <w:p/>
    <w:p>
      <w:r>
        <w:t>Taxes and accounting. Sales-tax treatment of digital cards and books, income taxes, bookkeeping, filing, payroll and insurance vary by jurisdiction and company structure. Request quotes; these are excluded from the modeled contribution.</w:t>
      </w:r>
    </w:p>
    <w:p>
      <w:pPr>
        <w:pStyle w:val="Heading1"/>
      </w:pPr>
      <w:r>
        <w:t>Monthly scenarios</w:t>
      </w:r>
    </w:p>
    <w:p>
      <w:pPr/>
      <w:r>
        <w:t>These are internal volume assumptions, not demand forecasts. They illustrate later operating months and include paid support in the software/marketing/support column; the bootstrapped three-month prelaunch table below has no paid support. Cards include free and paid cards; paid cards are a subset. Books are one sale per purchasing event, at an illustrative mix: Worse, 2 small; Okay, 12 small, 7 medium, 1 large; Best, 75 small, 60 medium, 15 large. Small/medium/large are 0–99 / 100–299 / 300+ included book entries. A book sale happens after that event's day-90 contribution close, so a month's book revenue can come from earlier events. External gift handoffs produce no platform fee. Paid scenarios require later hosted checkout, which is outside the free pilot.</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trPr>
        <w:tc>
          <w:tcPr>
            <w:tcW w:type="dxa" w:w="1440"/>
            <w:shd w:fill="243B4D"/>
          </w:tcPr>
          <w:p>
            <w:pPr>
              <w:spacing w:after="20"/>
            </w:pPr>
            <w:r>
              <w:rPr>
                <w:b/>
                <w:color w:val="FFFFFF"/>
                <w:sz w:val="15"/>
              </w:rPr>
              <w:t>Scenario</w:t>
            </w:r>
          </w:p>
        </w:tc>
        <w:tc>
          <w:tcPr>
            <w:tcW w:type="dxa" w:w="1800"/>
            <w:shd w:fill="243B4D"/>
          </w:tcPr>
          <w:p>
            <w:pPr>
              <w:spacing w:after="20"/>
            </w:pPr>
            <w:r>
              <w:rPr>
                <w:b/>
                <w:color w:val="FFFFFF"/>
                <w:sz w:val="15"/>
              </w:rPr>
              <w:t>Cards / paid / books</w:t>
            </w:r>
          </w:p>
        </w:tc>
        <w:tc>
          <w:tcPr>
            <w:tcW w:type="dxa" w:w="1296"/>
            <w:shd w:fill="243B4D"/>
          </w:tcPr>
          <w:p>
            <w:pPr>
              <w:spacing w:after="20"/>
            </w:pPr>
            <w:r>
              <w:rPr>
                <w:b/>
                <w:color w:val="FFFFFF"/>
                <w:sz w:val="15"/>
              </w:rPr>
              <w:t>Revenue</w:t>
            </w:r>
          </w:p>
        </w:tc>
        <w:tc>
          <w:tcPr>
            <w:tcW w:type="dxa" w:w="1296"/>
            <w:shd w:fill="243B4D"/>
          </w:tcPr>
          <w:p>
            <w:pPr>
              <w:spacing w:after="20"/>
            </w:pPr>
            <w:r>
              <w:rPr>
                <w:b/>
                <w:color w:val="FFFFFF"/>
                <w:sz w:val="15"/>
              </w:rPr>
              <w:t>Direct cost</w:t>
            </w:r>
          </w:p>
        </w:tc>
        <w:tc>
          <w:tcPr>
            <w:tcW w:type="dxa" w:w="2232"/>
            <w:shd w:fill="243B4D"/>
          </w:tcPr>
          <w:p>
            <w:pPr>
              <w:spacing w:after="20"/>
            </w:pPr>
            <w:r>
              <w:rPr>
                <w:b/>
                <w:color w:val="FFFFFF"/>
                <w:sz w:val="15"/>
              </w:rPr>
              <w:t>Software + marketing + support</w:t>
            </w:r>
          </w:p>
        </w:tc>
        <w:tc>
          <w:tcPr>
            <w:tcW w:type="dxa" w:w="1728"/>
            <w:shd w:fill="243B4D"/>
          </w:tcPr>
          <w:p>
            <w:pPr>
              <w:spacing w:after="20"/>
            </w:pPr>
            <w:r>
              <w:rPr>
                <w:b/>
                <w:color w:val="FFFFFF"/>
                <w:sz w:val="15"/>
              </w:rPr>
              <w:t>Monthly result</w:t>
            </w:r>
          </w:p>
        </w:tc>
      </w:tr>
      <w:tr>
        <w:tc>
          <w:tcPr>
            <w:tcW w:type="dxa" w:w="1440"/>
            <w:vAlign w:val="center"/>
          </w:tcPr>
          <w:p>
            <w:pPr>
              <w:spacing w:after="20"/>
            </w:pPr>
            <w:r>
              <w:rPr>
                <w:b/>
                <w:sz w:val="15"/>
              </w:rPr>
              <w:t>Free launch</w:t>
            </w:r>
          </w:p>
        </w:tc>
        <w:tc>
          <w:tcPr>
            <w:tcW w:type="dxa" w:w="1800"/>
            <w:vAlign w:val="center"/>
          </w:tcPr>
          <w:p>
            <w:r>
              <w:t>500 / 0 / 0</w:t>
            </w:r>
          </w:p>
        </w:tc>
        <w:tc>
          <w:tcPr>
            <w:tcW w:type="dxa" w:w="1296"/>
            <w:vAlign w:val="center"/>
          </w:tcPr>
          <w:p>
            <w:r>
              <w:t>$0.00</w:t>
            </w:r>
          </w:p>
        </w:tc>
        <w:tc>
          <w:tcPr>
            <w:tcW w:type="dxa" w:w="1296"/>
            <w:vAlign w:val="center"/>
          </w:tcPr>
          <w:p>
            <w:r>
              <w:t>$9.58</w:t>
            </w:r>
          </w:p>
        </w:tc>
        <w:tc>
          <w:tcPr>
            <w:tcW w:type="dxa" w:w="2232"/>
            <w:vAlign w:val="center"/>
          </w:tcPr>
          <w:p>
            <w:r>
              <w:t>$707.00</w:t>
            </w:r>
          </w:p>
        </w:tc>
        <w:tc>
          <w:tcPr>
            <w:tcW w:type="dxa" w:w="1728"/>
            <w:vAlign w:val="center"/>
          </w:tcPr>
          <w:p>
            <w:r>
              <w:t>−$716.58</w:t>
            </w:r>
          </w:p>
        </w:tc>
      </w:tr>
      <w:tr>
        <w:tc>
          <w:tcPr>
            <w:tcW w:type="dxa" w:w="1440"/>
            <w:vAlign w:val="center"/>
            <w:shd w:fill="F1F4F6"/>
          </w:tcPr>
          <w:p>
            <w:pPr>
              <w:spacing w:after="20"/>
            </w:pPr>
            <w:r>
              <w:rPr>
                <w:b/>
                <w:sz w:val="15"/>
              </w:rPr>
              <w:t>Worse</w:t>
            </w:r>
          </w:p>
        </w:tc>
        <w:tc>
          <w:tcPr>
            <w:tcW w:type="dxa" w:w="1800"/>
            <w:vAlign w:val="center"/>
            <w:shd w:fill="F1F4F6"/>
          </w:tcPr>
          <w:p>
            <w:r>
              <w:t>500 / 20 / 2</w:t>
            </w:r>
          </w:p>
        </w:tc>
        <w:tc>
          <w:tcPr>
            <w:tcW w:type="dxa" w:w="1296"/>
            <w:vAlign w:val="center"/>
            <w:shd w:fill="F1F4F6"/>
          </w:tcPr>
          <w:p>
            <w:r>
              <w:t>$129.80</w:t>
            </w:r>
          </w:p>
        </w:tc>
        <w:tc>
          <w:tcPr>
            <w:tcW w:type="dxa" w:w="1296"/>
            <w:vAlign w:val="center"/>
            <w:shd w:fill="F1F4F6"/>
          </w:tcPr>
          <w:p>
            <w:r>
              <w:t>$22.64</w:t>
            </w:r>
          </w:p>
        </w:tc>
        <w:tc>
          <w:tcPr>
            <w:tcW w:type="dxa" w:w="2232"/>
            <w:vAlign w:val="center"/>
            <w:shd w:fill="F1F4F6"/>
          </w:tcPr>
          <w:p>
            <w:r>
              <w:t>$707.00</w:t>
            </w:r>
          </w:p>
        </w:tc>
        <w:tc>
          <w:tcPr>
            <w:tcW w:type="dxa" w:w="1728"/>
            <w:vAlign w:val="center"/>
            <w:shd w:fill="F1F4F6"/>
          </w:tcPr>
          <w:p>
            <w:r>
              <w:t>−$599.84</w:t>
            </w:r>
          </w:p>
        </w:tc>
      </w:tr>
      <w:tr>
        <w:tc>
          <w:tcPr>
            <w:tcW w:type="dxa" w:w="1440"/>
            <w:vAlign w:val="center"/>
          </w:tcPr>
          <w:p>
            <w:pPr>
              <w:spacing w:after="20"/>
            </w:pPr>
            <w:r>
              <w:rPr>
                <w:b/>
                <w:sz w:val="15"/>
              </w:rPr>
              <w:t>Okay</w:t>
            </w:r>
          </w:p>
        </w:tc>
        <w:tc>
          <w:tcPr>
            <w:tcW w:type="dxa" w:w="1800"/>
            <w:vAlign w:val="center"/>
          </w:tcPr>
          <w:p>
            <w:r>
              <w:t>3,000 / 300 / 20</w:t>
            </w:r>
          </w:p>
        </w:tc>
        <w:tc>
          <w:tcPr>
            <w:tcW w:type="dxa" w:w="1296"/>
            <w:vAlign w:val="center"/>
          </w:tcPr>
          <w:p>
            <w:r>
              <w:t>$1,966.00</w:t>
            </w:r>
          </w:p>
        </w:tc>
        <w:tc>
          <w:tcPr>
            <w:tcW w:type="dxa" w:w="1296"/>
            <w:vAlign w:val="center"/>
          </w:tcPr>
          <w:p>
            <w:r>
              <w:t>$250.46</w:t>
            </w:r>
          </w:p>
        </w:tc>
        <w:tc>
          <w:tcPr>
            <w:tcW w:type="dxa" w:w="2232"/>
            <w:vAlign w:val="center"/>
          </w:tcPr>
          <w:p>
            <w:r>
              <w:t>$2,077.00</w:t>
            </w:r>
          </w:p>
        </w:tc>
        <w:tc>
          <w:tcPr>
            <w:tcW w:type="dxa" w:w="1728"/>
            <w:vAlign w:val="center"/>
          </w:tcPr>
          <w:p>
            <w:r>
              <w:t>−$361.46</w:t>
            </w:r>
          </w:p>
        </w:tc>
      </w:tr>
      <w:tr>
        <w:tc>
          <w:tcPr>
            <w:tcW w:type="dxa" w:w="1440"/>
            <w:vAlign w:val="center"/>
            <w:shd w:fill="F1F4F6"/>
          </w:tcPr>
          <w:p>
            <w:pPr>
              <w:spacing w:after="20"/>
            </w:pPr>
            <w:r>
              <w:rPr>
                <w:b/>
                <w:sz w:val="15"/>
              </w:rPr>
              <w:t>Best</w:t>
            </w:r>
          </w:p>
        </w:tc>
        <w:tc>
          <w:tcPr>
            <w:tcW w:type="dxa" w:w="1800"/>
            <w:vAlign w:val="center"/>
            <w:shd w:fill="F1F4F6"/>
          </w:tcPr>
          <w:p>
            <w:r>
              <w:t>15,000 / 3,000 / 150</w:t>
            </w:r>
          </w:p>
        </w:tc>
        <w:tc>
          <w:tcPr>
            <w:tcW w:type="dxa" w:w="1296"/>
            <w:vAlign w:val="center"/>
            <w:shd w:fill="F1F4F6"/>
          </w:tcPr>
          <w:p>
            <w:r>
              <w:t>$19,080.00</w:t>
            </w:r>
          </w:p>
        </w:tc>
        <w:tc>
          <w:tcPr>
            <w:tcW w:type="dxa" w:w="1296"/>
            <w:vAlign w:val="center"/>
            <w:shd w:fill="F1F4F6"/>
          </w:tcPr>
          <w:p>
            <w:r>
              <w:t>$2,183.07</w:t>
            </w:r>
          </w:p>
        </w:tc>
        <w:tc>
          <w:tcPr>
            <w:tcW w:type="dxa" w:w="2232"/>
            <w:vAlign w:val="center"/>
            <w:shd w:fill="F1F4F6"/>
          </w:tcPr>
          <w:p>
            <w:r>
              <w:t>$8,077.00</w:t>
            </w:r>
          </w:p>
        </w:tc>
        <w:tc>
          <w:tcPr>
            <w:tcW w:type="dxa" w:w="1728"/>
            <w:vAlign w:val="center"/>
            <w:shd w:fill="F1F4F6"/>
          </w:tcPr>
          <w:p>
            <w:r>
              <w:t>+$8,819.93</w:t>
            </w:r>
          </w:p>
        </w:tc>
      </w:tr>
    </w:tbl>
    <w:p/>
    <w:p>
      <w:pPr/>
      <w:r>
        <w:t>Free launch: 500 free cards, no book sales and an illustrative $716.58 loss with $707 software/outreach/support. Worse: 20 paid cards and two $15 books give $129.80 revenue and a $599.84 loss. Okay: 300 paid cards and 20 books in the stated tier mix give $1,966.00 revenue and a $361.46 loss. Best: 3,000 paid cards and 150 books in the stated mix give $19,080.00 revenue and an $8,819.93 modeled surplus. These results exclude founder/developer salaries, legal, insurance, taxes, music, refunds, art amortization and provider minimums; they are not net profit.</w:t>
      </w:r>
    </w:p>
    <w:p>
      <w:pPr/>
      <w:r>
        <w:t>With 3,000 completed cards, 20 book sales in the okay-case mix, $2,077 monthly software/marketing/support and the current unit costs, about 382 premium-card purchases (12.7% of cards) cover modeled costs. With zero books, about 484 paid cards (16.1%) are needed. Book sales occur after the 90-day submission window, so the business must cover the time lag. If an approved integrated route processed 600 $100 gifts under the 3%/3.2% assumptions, it would add $1,800 gross fee revenue and $1,977.60 processing expense, reducing monthly result by $177.60 before minimums, support and disputes.</w:t>
      </w:r>
    </w:p>
    <w:p>
      <w:pPr>
        <w:pStyle w:val="Heading1"/>
      </w:pPr>
      <w:r>
        <w:t>Capital required before the first paid evidence</w:t>
      </w:r>
    </w:p>
    <w:p>
      <w:pPr/>
      <w:r>
        <w:t xml:space="preserve">Fixed development arrangement: the founder reports an indefinitely fixed, one-time $500 fee for the developer's work on this app, including later planned code phases. The 31 October private MVP is 180 focused hours; the 192–215-hour full external pilot includes follow-on supervised validation and optional generated art. Internal security and accessibility checks remain engineering work, with no separate outside review. The bootstrapped table covers three months and excludes founder pay, paid support, contingency, integrated provider charges, music rights and commissioned artwork.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3442"/>
            <w:shd w:fill="243B4D"/>
          </w:tcPr>
          <w:p>
            <w:pPr>
              <w:spacing w:after="20"/>
            </w:pPr>
            <w:r>
              <w:rPr>
                <w:b/>
                <w:color w:val="FFFFFF"/>
                <w:sz w:val="15"/>
              </w:rPr>
              <w:t>Three-month prelaunch use</w:t>
            </w:r>
          </w:p>
        </w:tc>
        <w:tc>
          <w:tcPr>
            <w:tcW w:type="dxa" w:w="1296"/>
            <w:shd w:fill="243B4D"/>
          </w:tcPr>
          <w:p>
            <w:pPr>
              <w:spacing w:after="20"/>
            </w:pPr>
            <w:r>
              <w:rPr>
                <w:b/>
                <w:color w:val="FFFFFF"/>
                <w:sz w:val="15"/>
              </w:rPr>
              <w:t>Low cash</w:t>
            </w:r>
          </w:p>
        </w:tc>
        <w:tc>
          <w:tcPr>
            <w:tcW w:type="dxa" w:w="1296"/>
            <w:shd w:fill="243B4D"/>
          </w:tcPr>
          <w:p>
            <w:pPr>
              <w:spacing w:after="20"/>
            </w:pPr>
            <w:r>
              <w:rPr>
                <w:b/>
                <w:color w:val="FFFFFF"/>
                <w:sz w:val="15"/>
              </w:rPr>
              <w:t>High cash</w:t>
            </w:r>
          </w:p>
        </w:tc>
        <w:tc>
          <w:tcPr>
            <w:tcW w:type="dxa" w:w="3758"/>
            <w:shd w:fill="243B4D"/>
          </w:tcPr>
          <w:p>
            <w:pPr>
              <w:spacing w:after="20"/>
            </w:pPr>
            <w:r>
              <w:rPr>
                <w:b/>
                <w:color w:val="FFFFFF"/>
                <w:sz w:val="15"/>
              </w:rPr>
              <w:t>Basis</w:t>
            </w:r>
          </w:p>
        </w:tc>
      </w:tr>
      <w:tr>
        <w:trPr>
          <w:cantSplit/>
        </w:trPr>
        <w:tc>
          <w:tcPr>
            <w:tcW w:type="dxa" w:w="3442"/>
            <w:vAlign w:val="center"/>
          </w:tcPr>
          <w:p>
            <w:r>
              <w:t>Fixed app development fee</w:t>
            </w:r>
          </w:p>
        </w:tc>
        <w:tc>
          <w:tcPr>
            <w:tcW w:type="dxa" w:w="1296"/>
            <w:vAlign w:val="center"/>
          </w:tcPr>
          <w:p>
            <w:pPr>
              <w:spacing w:after="20"/>
            </w:pPr>
            <w:r>
              <w:rPr>
                <w:sz w:val="15"/>
              </w:rPr>
              <w:t>$500</w:t>
            </w:r>
          </w:p>
        </w:tc>
        <w:tc>
          <w:tcPr>
            <w:tcW w:type="dxa" w:w="1296"/>
            <w:vAlign w:val="center"/>
          </w:tcPr>
          <w:p>
            <w:pPr>
              <w:spacing w:after="20"/>
            </w:pPr>
            <w:r>
              <w:rPr>
                <w:sz w:val="15"/>
              </w:rPr>
              <w:t>$500</w:t>
            </w:r>
          </w:p>
        </w:tc>
        <w:tc>
          <w:tcPr>
            <w:tcW w:type="dxa" w:w="3758"/>
            <w:vAlign w:val="center"/>
          </w:tcPr>
          <w:p>
            <w:r>
              <w:t xml:space="preserve">One-time $500 fee for planned app development, including multiple services and later code phases; 192–215 pilot hours and later hours are schedule estimates, not hourly charges.</w:t>
            </w:r>
          </w:p>
        </w:tc>
      </w:tr>
      <w:tr>
        <w:trPr>
          <w:cantSplit/>
        </w:trPr>
        <w:tc>
          <w:tcPr>
            <w:tcW w:type="dxa" w:w="3442"/>
            <w:vAlign w:val="center"/>
            <w:shd w:fill="F1F4F6"/>
          </w:tcPr>
          <w:p>
            <w:pPr>
              <w:spacing w:after="20"/>
            </w:pPr>
            <w:r>
              <w:rPr>
                <w:b/>
                <w:sz w:val="15"/>
              </w:rPr>
              <w:t>Product/design art sourcing</w:t>
            </w:r>
          </w:p>
        </w:tc>
        <w:tc>
          <w:tcPr>
            <w:tcW w:type="dxa" w:w="1296"/>
            <w:vAlign w:val="center"/>
            <w:shd w:fill="F1F4F6"/>
          </w:tcPr>
          <w:p>
            <w:pPr>
              <w:spacing w:after="20"/>
            </w:pPr>
            <w:r>
              <w:rPr>
                <w:sz w:val="15"/>
              </w:rPr>
              <w:t>$0</w:t>
            </w:r>
          </w:p>
        </w:tc>
        <w:tc>
          <w:tcPr>
            <w:tcW w:type="dxa" w:w="1296"/>
            <w:vAlign w:val="center"/>
            <w:shd w:fill="F1F4F6"/>
          </w:tcPr>
          <w:p>
            <w:pPr>
              <w:spacing w:after="20"/>
            </w:pPr>
            <w:r>
              <w:rPr>
                <w:sz w:val="15"/>
              </w:rPr>
              <w:t>$600</w:t>
            </w:r>
          </w:p>
        </w:tc>
        <w:tc>
          <w:tcPr>
            <w:tcW w:type="dxa" w:w="3758"/>
            <w:vAlign w:val="center"/>
            <w:shd w:fill="F1F4F6"/>
          </w:tcPr>
          <w:p>
            <w:pPr>
              <w:spacing w:after="20"/>
            </w:pPr>
            <w:r>
              <w:rPr>
                <w:sz w:val="15"/>
              </w:rPr>
              <w:t>Founder sources templates, or up to 8 hours at a $75/hour assumption.</w:t>
            </w:r>
          </w:p>
        </w:tc>
      </w:tr>
      <w:tr>
        <w:trPr>
          <w:cantSplit/>
        </w:trPr>
        <w:tc>
          <w:tcPr>
            <w:tcW w:type="dxa" w:w="3442"/>
            <w:vAlign w:val="center"/>
          </w:tcPr>
          <w:p>
            <w:pPr>
              <w:spacing w:after="20"/>
            </w:pPr>
            <w:r>
              <w:rPr>
                <w:b/>
                <w:sz w:val="15"/>
              </w:rPr>
              <w:t>Four commissioned illustrations</w:t>
            </w:r>
          </w:p>
        </w:tc>
        <w:tc>
          <w:tcPr>
            <w:tcW w:type="dxa" w:w="1296"/>
            <w:vAlign w:val="center"/>
          </w:tcPr>
          <w:p>
            <w:pPr>
              <w:spacing w:after="20"/>
            </w:pPr>
            <w:r>
              <w:rPr>
                <w:sz w:val="15"/>
              </w:rPr>
              <w:t>$0</w:t>
            </w:r>
          </w:p>
        </w:tc>
        <w:tc>
          <w:tcPr>
            <w:tcW w:type="dxa" w:w="1296"/>
            <w:vAlign w:val="center"/>
          </w:tcPr>
          <w:p>
            <w:pPr>
              <w:spacing w:after="20"/>
            </w:pPr>
            <w:r>
              <w:rPr>
                <w:sz w:val="15"/>
              </w:rPr>
              <w:t>$0</w:t>
            </w:r>
          </w:p>
        </w:tc>
        <w:tc>
          <w:tcPr>
            <w:tcW w:type="dxa" w:w="3758"/>
            <w:vAlign w:val="center"/>
          </w:tcPr>
          <w:p>
            <w:pPr>
              <w:spacing w:after="20"/>
            </w:pPr>
            <w:r>
              <w:rPr>
                <w:sz w:val="15"/>
              </w:rPr>
              <w:t>Deferred from baseline; optional 4 × $299–$1,499 = $1,196–$5,996 before revisions [8].</w:t>
            </w:r>
          </w:p>
        </w:tc>
      </w:tr>
      <w:tr>
        <w:trPr>
          <w:cantSplit/>
        </w:trPr>
        <w:tc>
          <w:tcPr>
            <w:tcW w:type="dxa" w:w="3442"/>
            <w:vAlign w:val="center"/>
            <w:shd w:fill="F1F4F6"/>
          </w:tcPr>
          <w:p>
            <w:pPr>
              <w:spacing w:after="20"/>
            </w:pPr>
            <w:r>
              <w:rPr>
                <w:b/>
                <w:sz w:val="15"/>
              </w:rPr>
              <w:t>Counsel/provider/privacy reserve</w:t>
            </w:r>
          </w:p>
        </w:tc>
        <w:tc>
          <w:tcPr>
            <w:tcW w:type="dxa" w:w="1296"/>
            <w:vAlign w:val="center"/>
            <w:shd w:fill="F1F4F6"/>
          </w:tcPr>
          <w:p>
            <w:pPr>
              <w:spacing w:after="20"/>
            </w:pPr>
            <w:r>
              <w:rPr>
                <w:sz w:val="15"/>
              </w:rPr>
              <w:t>$2,000</w:t>
            </w:r>
          </w:p>
        </w:tc>
        <w:tc>
          <w:tcPr>
            <w:tcW w:type="dxa" w:w="1296"/>
            <w:vAlign w:val="center"/>
            <w:shd w:fill="F1F4F6"/>
          </w:tcPr>
          <w:p>
            <w:pPr>
              <w:spacing w:after="20"/>
            </w:pPr>
            <w:r>
              <w:rPr>
                <w:sz w:val="15"/>
              </w:rPr>
              <w:t>$5,000</w:t>
            </w:r>
          </w:p>
        </w:tc>
        <w:tc>
          <w:tcPr>
            <w:tcW w:type="dxa" w:w="3758"/>
            <w:vAlign w:val="center"/>
            <w:shd w:fill="F1F4F6"/>
          </w:tcPr>
          <w:p>
            <w:pPr>
              <w:spacing w:after="20"/>
            </w:pPr>
            <w:r>
              <w:rPr>
                <w:sz w:val="15"/>
              </w:rPr>
              <w:t>Internal lean reserve for scoped review; seek actual quotes before launch.</w:t>
            </w:r>
          </w:p>
        </w:tc>
      </w:tr>
      <w:tr>
        <w:trPr>
          <w:cantSplit/>
        </w:trPr>
        <w:tc>
          <w:tcPr>
            <w:tcW w:type="dxa" w:w="3442"/>
            <w:vAlign w:val="center"/>
            <w:shd w:fill="F1F4F6"/>
          </w:tcPr>
          <w:p>
            <w:pPr>
              <w:spacing w:after="20"/>
            </w:pPr>
            <w:r>
              <w:rPr>
                <w:b/>
                <w:sz w:val="15"/>
              </w:rPr>
              <w:t>Launch outreach, three months</w:t>
            </w:r>
          </w:p>
        </w:tc>
        <w:tc>
          <w:tcPr>
            <w:tcW w:type="dxa" w:w="1296"/>
            <w:vAlign w:val="center"/>
            <w:shd w:fill="F1F4F6"/>
          </w:tcPr>
          <w:p>
            <w:pPr>
              <w:spacing w:after="20"/>
            </w:pPr>
            <w:r>
              <w:rPr>
                <w:sz w:val="15"/>
              </w:rPr>
              <w:t>$500</w:t>
            </w:r>
          </w:p>
        </w:tc>
        <w:tc>
          <w:tcPr>
            <w:tcW w:type="dxa" w:w="1296"/>
            <w:vAlign w:val="center"/>
            <w:shd w:fill="F1F4F6"/>
          </w:tcPr>
          <w:p>
            <w:pPr>
              <w:spacing w:after="20"/>
            </w:pPr>
            <w:r>
              <w:rPr>
                <w:sz w:val="15"/>
              </w:rPr>
              <w:t>$1,500</w:t>
            </w:r>
          </w:p>
        </w:tc>
        <w:tc>
          <w:tcPr>
            <w:tcW w:type="dxa" w:w="3758"/>
            <w:vAlign w:val="center"/>
            <w:shd w:fill="F1F4F6"/>
          </w:tcPr>
          <w:p>
            <w:pPr>
              <w:spacing w:after="20"/>
            </w:pPr>
            <w:r>
              <w:rPr>
                <w:sz w:val="15"/>
              </w:rPr>
              <w:t>Direct host recruitment first; modest paid outreach if needed.</w:t>
            </w:r>
          </w:p>
        </w:tc>
      </w:tr>
      <w:tr>
        <w:trPr>
          <w:cantSplit/>
        </w:trPr>
        <w:tc>
          <w:tcPr>
            <w:tcW w:type="dxa" w:w="3442"/>
            <w:vAlign w:val="center"/>
          </w:tcPr>
          <w:p>
            <w:pPr>
              <w:spacing w:after="20"/>
            </w:pPr>
            <w:r>
              <w:rPr>
                <w:b/>
                <w:sz w:val="15"/>
              </w:rPr>
              <w:t>Software, three months</w:t>
            </w:r>
          </w:p>
        </w:tc>
        <w:tc>
          <w:tcPr>
            <w:tcW w:type="dxa" w:w="1296"/>
            <w:vAlign w:val="center"/>
          </w:tcPr>
          <w:p>
            <w:pPr>
              <w:spacing w:after="20"/>
            </w:pPr>
            <w:r>
              <w:rPr>
                <w:sz w:val="15"/>
              </w:rPr>
              <w:t>$171</w:t>
            </w:r>
          </w:p>
        </w:tc>
        <w:tc>
          <w:tcPr>
            <w:tcW w:type="dxa" w:w="1296"/>
            <w:vAlign w:val="center"/>
          </w:tcPr>
          <w:p>
            <w:pPr>
              <w:spacing w:after="20"/>
            </w:pPr>
            <w:r>
              <w:rPr>
                <w:sz w:val="15"/>
              </w:rPr>
              <w:t>$231</w:t>
            </w:r>
          </w:p>
        </w:tc>
        <w:tc>
          <w:tcPr>
            <w:tcW w:type="dxa" w:w="3758"/>
            <w:vAlign w:val="center"/>
          </w:tcPr>
          <w:p>
            <w:pPr>
              <w:spacing w:after="20"/>
            </w:pPr>
            <w:r>
              <w:rPr>
                <w:sz w:val="15"/>
              </w:rPr>
              <w:t>$57–$77 monthly line-item case.</w:t>
            </w:r>
          </w:p>
        </w:tc>
      </w:tr>
      <w:tr>
        <w:trPr>
          <w:cantSplit/>
        </w:trPr>
        <w:tc>
          <w:tcPr>
            <w:tcW w:type="dxa" w:w="3442"/>
            <w:vAlign w:val="center"/>
          </w:tcPr>
          <w:p>
            <w:pPr>
              <w:spacing w:after="20"/>
            </w:pPr>
            <w:r>
              <w:rPr>
                <w:b/>
                <w:sz w:val="15"/>
              </w:rPr>
              <w:t>Three-month pilot subtotal</w:t>
            </w:r>
          </w:p>
        </w:tc>
        <w:tc>
          <w:tcPr>
            <w:tcW w:type="dxa" w:w="1296"/>
            <w:vAlign w:val="center"/>
          </w:tcPr>
          <w:p>
            <w:pPr>
              <w:spacing w:after="20"/>
            </w:pPr>
            <w:r>
              <w:rPr>
                <w:sz w:val="15"/>
              </w:rPr>
              <w:t>$3,171</w:t>
            </w:r>
          </w:p>
        </w:tc>
        <w:tc>
          <w:tcPr>
            <w:tcW w:type="dxa" w:w="1296"/>
            <w:vAlign w:val="center"/>
          </w:tcPr>
          <w:p>
            <w:pPr>
              <w:spacing w:after="20"/>
            </w:pPr>
            <w:r>
              <w:rPr>
                <w:sz w:val="15"/>
              </w:rPr>
              <w:t>$7,831</w:t>
            </w:r>
          </w:p>
        </w:tc>
        <w:tc>
          <w:tcPr>
            <w:tcW w:type="dxa" w:w="3758"/>
            <w:vAlign w:val="center"/>
          </w:tcPr>
          <w:p>
            <w:pPr>
              <w:spacing w:after="20"/>
            </w:pPr>
            <w:r>
              <w:rPr>
                <w:sz w:val="15"/>
              </w:rPr>
              <w:t>Sum of listed bootstrapped cash costs; no paid support or contingency.</w:t>
            </w:r>
          </w:p>
        </w:tc>
      </w:tr>
    </w:tbl>
    <w:p/>
    <w:p>
      <w:pPr/>
      <w:r>
        <w:t>The $500 development fee is a one-time fixed cash amount for the app, regardless of engineering hours or later planned code phases; it is not a market-rate estimate. The $3,171–$7,831 subtotal is the sum of listed three-month cash costs, with no paid support or contingency. Paid card/book checkout adds 12–20 engineering hours, approved integrated gifts add 140–220 hours, and licensed music adds 16–28 hours. Those hours add $0 to the development fee. Provider underwriting, transaction charges or minimums, counsel, art and music rights may add separate external cash costs that require quotes and are excluded from this subtotal. Paid monthly revenue scenarios assume premium checkout has been built.</w:t>
      </w:r>
    </w:p>
    <w:p>
      <w:pPr>
        <w:pStyle w:val="Heading1"/>
      </w:pPr>
      <w:r>
        <w:t>What to validate before raising a larger round</w:t>
      </w:r>
    </w:p>
    <w:p>
      <w:pPr>
        <w:pStyle w:val="ListBullet"/>
      </w:pPr>
      <w:r>
        <w:t>Cost control: cap AI requests per guest and event; meter images, media size, exports, email and storage/egress. The wedding gift-only page lasts to month 12 while new media stops at day 90; host CardVault access and export continue after public closure, subject to the published storage and deletion policy. Test the $10 monthly overage reserve as retention grows.</w:t>
      </w:r>
    </w:p>
    <w:p>
      <w:pPr>
        <w:pStyle w:val="ListBullet"/>
      </w:pPr>
      <w:r>
        <w:t>Conversion: track opened share links and QR scans separately, completed free notes, premium-card conversion, book purchases and referral-to-host conversion.</w:t>
      </w:r>
    </w:p>
    <w:p>
      <w:pPr>
        <w:pStyle w:val="ListBullet"/>
      </w:pPr>
      <w:r>
        <w:t>Payment risk: the external pilot has one independently confirmed destination per enabled service, guest choice, exact selected-route disclosure, isolated route changes and host receipt checks; measure misdirection complaints and support cost. Obtain counsel review of host and guest terms. For later integrated gifts, require written provider funds-flow approval, a fee schedule and signed-event reconciliation before modeling gift fees.</w:t>
      </w:r>
    </w:p>
    <w:p>
      <w:pPr>
        <w:pStyle w:val="ListBullet"/>
      </w:pPr>
      <w:r>
        <w:t>Rights: secure card-template commercial rights and a music quote covering in-app playback, sharing, retention and export before music-enabled sales.</w:t>
      </w:r>
    </w:p>
    <w:p>
      <w:pPr>
        <w:pStyle w:val="Heading1"/>
        <w:pageBreakBefore/>
      </w:pPr>
      <w:r>
        <w:t>Pricing and resource links</w:t>
      </w:r>
    </w:p>
    <w:p>
      <w:pPr>
        <w:spacing w:before="0" w:after="0" w:line="240" w:lineRule="auto"/>
      </w:pPr>
      <w:r>
        <w:rPr>
          <w:sz w:val="16"/>
        </w:rPr>
        <w:t>[1] OpenAI GPT-6 Luna standard token rates — https://developers.openai.com/api/docs/models/gpt-6-luna</w:t>
      </w:r>
    </w:p>
    <w:p>
      <w:pPr>
        <w:spacing w:before="0" w:after="0" w:line="240" w:lineRule="auto"/>
      </w:pPr>
      <w:r>
        <w:rPr>
          <w:sz w:val="16"/>
        </w:rPr>
        <w:t>[2] OpenAI image generation guide and GPT Image 2 cost examples — https://developers.openai.com/api/docs/guides/image-generation</w:t>
      </w:r>
    </w:p>
    <w:p>
      <w:pPr>
        <w:spacing w:before="0" w:after="0" w:line="240" w:lineRule="auto"/>
      </w:pPr>
      <w:r>
        <w:rPr>
          <w:sz w:val="16"/>
        </w:rPr>
        <w:t>[3] Stripe domestic-card pricing — https://stripe.com/pricing</w:t>
      </w:r>
    </w:p>
    <w:p>
      <w:pPr>
        <w:spacing w:before="0" w:after="0" w:line="240" w:lineRule="auto"/>
      </w:pPr>
      <w:r>
        <w:rPr>
          <w:sz w:val="16"/>
        </w:rPr>
        <w:t>[4] Vercel plans and included credit — https://vercel.com/pricing</w:t>
      </w:r>
    </w:p>
    <w:p>
      <w:pPr>
        <w:spacing w:before="0" w:after="0" w:line="240" w:lineRule="auto"/>
      </w:pPr>
      <w:r>
        <w:rPr>
          <w:sz w:val="16"/>
        </w:rPr>
        <w:t>[5] Supabase plan and compute — https://supabase.com/pricing</w:t>
      </w:r>
    </w:p>
    <w:p>
      <w:pPr>
        <w:spacing w:before="0" w:after="0" w:line="240" w:lineRule="auto"/>
      </w:pPr>
      <w:r>
        <w:rPr>
          <w:sz w:val="16"/>
        </w:rPr>
        <w:t>[6] Resend transactional email plans — https://resend.com/pricing</w:t>
      </w:r>
    </w:p>
    <w:p>
      <w:pPr>
        <w:spacing w:before="0" w:after="0" w:line="240" w:lineRule="auto"/>
      </w:pPr>
      <w:r>
        <w:rPr>
          <w:sz w:val="16"/>
        </w:rPr>
        <w:t>[7] Feed Clips licensing product, quote required — https://www.feed.fm/clips</w:t>
      </w:r>
    </w:p>
    <w:p>
      <w:pPr>
        <w:spacing w:before="0" w:after="0" w:line="240" w:lineRule="auto"/>
      </w:pPr>
      <w:r>
        <w:rPr>
          <w:sz w:val="16"/>
        </w:rPr>
        <w:t>[8] 99designs illustration estimate — https://99designs.com/pricing/illustrations</w:t>
      </w:r>
    </w:p>
    <w:p>
      <w:pPr>
        <w:spacing w:before="0" w:after="0" w:line="240" w:lineRule="auto"/>
      </w:pPr>
      <w:r>
        <w:rPr>
          <w:sz w:val="16"/>
        </w:rPr>
        <w:t>[9] Adobe Stock plan and license terms — https://stock.adobe.com/Plans ; https://stock.adobe.com/license-terms</w:t>
      </w:r>
    </w:p>
    <w:p>
      <w:pPr>
        <w:spacing w:before="0" w:after="0" w:line="240" w:lineRule="auto"/>
      </w:pPr>
      <w:r>
        <w:rPr>
          <w:sz w:val="16"/>
        </w:rPr>
        <w:t>[10] Moov pricing and minimum — https://moov.io/pricing/</w:t>
      </w:r>
    </w:p>
    <w:p>
      <w:pPr>
        <w:spacing w:before="0" w:after="0" w:line="240" w:lineRule="auto"/>
      </w:pPr>
      <w:r>
        <w:rPr>
          <w:sz w:val="16"/>
        </w:rPr>
        <w:t>[11] Namecheap .com registration and renewal — https://www.namecheap.com/domains/registration/gtld/com/</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p>
      <w:pPr>
        <w:pStyle w:val="Heading2"/>
      </w:pPr>
      <w:r>
        <w:t>21 October 2026 DEV review extension</w:t>
      </w:r>
    </w:p>
    <w:p>
      <w:r>
        <w:t>The owner brought a bounded DEV AI artwork experiment forward on 21 October. Server limits allow two attempts per guest, ten per event, four per hashed IP and twenty globally each day. Each request fixes one low-quality portrait image; failures count and there are no automatic paid retries. A $0.02 per-attempt planning reserve yields $0.40/day estimated maximum at twenty attempts; provider input charges/pricing can vary, so this is not a guaranteed billing cap. Configure project budget alerts and monitor actual usage. No paid provider calls were made by automated tests. Production economics remain subject to review.</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