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3903" w14:textId="5D04610C" w:rsidR="00A10484" w:rsidRPr="004D4C73" w:rsidRDefault="00A10484">
      <w:pPr>
        <w:pStyle w:val="Title"/>
        <w:rPr>
          <w:sz w:val="16"/>
          <w:szCs w:val="16"/>
        </w:rPr>
      </w:pPr>
    </w:p>
    <w:p w14:paraId="4D4C0EE5" w14:textId="7E23C52F" w:rsidR="00855982" w:rsidRPr="00855982" w:rsidRDefault="004D4C73" w:rsidP="00855982">
      <w:pPr>
        <w:pStyle w:val="Heading1"/>
      </w:pPr>
      <w:r>
        <w:t>Credit One – Data Analysis Report</w:t>
      </w:r>
      <w:r w:rsidR="00D62450">
        <w:t xml:space="preserve"> – Richard Valades</w:t>
      </w:r>
    </w:p>
    <w:p w14:paraId="785A3C8D" w14:textId="77777777" w:rsidR="004D4C73" w:rsidRDefault="004D4C73" w:rsidP="004D4C73">
      <w:pPr>
        <w:rPr>
          <w:b/>
          <w:bCs/>
        </w:rPr>
      </w:pPr>
    </w:p>
    <w:p w14:paraId="78147B2D" w14:textId="60E5F5EB" w:rsidR="004D4C73" w:rsidRPr="004D4C73" w:rsidRDefault="003123A5" w:rsidP="004D4C73">
      <w:pPr>
        <w:rPr>
          <w:b/>
          <w:bCs/>
          <w:color w:val="4DA4D8" w:themeColor="accent3" w:themeTint="99"/>
        </w:rPr>
      </w:pPr>
      <w:r>
        <w:rPr>
          <w:b/>
          <w:bCs/>
          <w:color w:val="4DA4D8" w:themeColor="accent3" w:themeTint="99"/>
        </w:rPr>
        <w:t>Analysis Summary</w:t>
      </w:r>
      <w:r w:rsidR="004D4C73">
        <w:rPr>
          <w:b/>
          <w:bCs/>
          <w:color w:val="4DA4D8" w:themeColor="accent3" w:themeTint="99"/>
        </w:rPr>
        <w:t>:</w:t>
      </w:r>
    </w:p>
    <w:p w14:paraId="2BA74037" w14:textId="0457F7FD" w:rsidR="005C334A" w:rsidRDefault="002B4FE2" w:rsidP="004D4C73">
      <w:r>
        <w:t>Our task for this EDA was to perform a thorough data analysis of the Credit One data. We began with a statistical analysis of the</w:t>
      </w:r>
      <w:r w:rsidR="00060CB6">
        <w:t xml:space="preserve"> </w:t>
      </w:r>
      <w:r>
        <w:t>data</w:t>
      </w:r>
      <w:r w:rsidR="00060CB6">
        <w:t xml:space="preserve"> </w:t>
      </w:r>
      <w:r w:rsidR="00E41711">
        <w:t xml:space="preserve">that </w:t>
      </w:r>
      <w:r w:rsidR="00060CB6">
        <w:t>we preprocessed</w:t>
      </w:r>
      <w:r>
        <w:t>.</w:t>
      </w:r>
      <w:r w:rsidR="009806DD">
        <w:t xml:space="preserve"> It showed an average age of 35 among customers, with the largest proportion</w:t>
      </w:r>
      <w:r w:rsidR="00956E03">
        <w:t xml:space="preserve"> having a marital status of</w:t>
      </w:r>
      <w:r w:rsidR="009806DD">
        <w:t xml:space="preserve"> single. </w:t>
      </w:r>
      <w:r w:rsidR="00DE1BCB">
        <w:t>The largest proportion of customers were college educated</w:t>
      </w:r>
      <w:r w:rsidR="00060CB6">
        <w:t xml:space="preserve"> or higher</w:t>
      </w:r>
      <w:r w:rsidR="00DE1BCB">
        <w:t xml:space="preserve">, with a significant segment of customers having a graduate school level of education. </w:t>
      </w:r>
    </w:p>
    <w:p w14:paraId="1A901859" w14:textId="391C7266" w:rsidR="00060CB6" w:rsidRDefault="00DE1BCB" w:rsidP="004D4C73">
      <w:r>
        <w:t>The highest proportion of limit balances were on the lower end of the range with</w:t>
      </w:r>
      <w:r w:rsidR="00060CB6">
        <w:t xml:space="preserve"> an average of $140,000 and a high of $240,000. One outlier was present in the $1M range.</w:t>
      </w:r>
      <w:r w:rsidR="005C334A">
        <w:t xml:space="preserve"> </w:t>
      </w:r>
      <w:r w:rsidR="00060CB6">
        <w:t>Billing and payment</w:t>
      </w:r>
      <w:r w:rsidR="005C334A">
        <w:t xml:space="preserve"> history </w:t>
      </w:r>
      <w:r w:rsidR="00060CB6">
        <w:t xml:space="preserve">was </w:t>
      </w:r>
      <w:r w:rsidR="005C334A">
        <w:t>provided,</w:t>
      </w:r>
      <w:r w:rsidR="00060CB6">
        <w:t xml:space="preserve"> and correlation analysis showed</w:t>
      </w:r>
      <w:r w:rsidR="005650B3">
        <w:t xml:space="preserve"> a minimal correlation between payment amount and payment history</w:t>
      </w:r>
      <w:r w:rsidR="005C334A">
        <w:t>. There were no other meaningful correlations from any of the other features.</w:t>
      </w:r>
    </w:p>
    <w:p w14:paraId="135D8FF8" w14:textId="3FC4054A" w:rsidR="005C334A" w:rsidRDefault="005C334A" w:rsidP="004D4C73">
      <w:r>
        <w:t>Loan default rates were highest among the university education level customers, with a significantly lower proportion of graduate level customers. High School education</w:t>
      </w:r>
      <w:r w:rsidR="00BA4DBE">
        <w:t xml:space="preserve"> level</w:t>
      </w:r>
      <w:r w:rsidR="001F000D">
        <w:t xml:space="preserve"> customer</w:t>
      </w:r>
      <w:r w:rsidR="00CF27D9">
        <w:t>s</w:t>
      </w:r>
      <w:r w:rsidR="001F000D">
        <w:t xml:space="preserve"> were</w:t>
      </w:r>
      <w:r>
        <w:t xml:space="preserve"> also present among default customers but at</w:t>
      </w:r>
      <w:r w:rsidR="001F000D">
        <w:t xml:space="preserve"> lower rates</w:t>
      </w:r>
      <w:r>
        <w:t>.</w:t>
      </w:r>
      <w:r w:rsidR="001267FF">
        <w:t xml:space="preserve"> Default rates for married versus single customers were similar with single customers having a slightly greater proportion of default rates than married customers. Divorced customers had very low rates of default.</w:t>
      </w:r>
    </w:p>
    <w:p w14:paraId="581E64F3" w14:textId="4BE69D39" w:rsidR="00AB5E9E" w:rsidRDefault="00AB5E9E" w:rsidP="004D4C73">
      <w:r>
        <w:t>Women comprised a larger proportion of total customers, as well as higher rates of default. The distribution of customer ages tends to skew to a younger customer base with the largest proportion being in the 25-40 range. Default rates based on age followed a similar pattern.</w:t>
      </w:r>
    </w:p>
    <w:p w14:paraId="4148E41C" w14:textId="77777777" w:rsidR="003123A5" w:rsidRPr="004D4C73" w:rsidRDefault="003123A5" w:rsidP="003123A5">
      <w:pPr>
        <w:rPr>
          <w:b/>
          <w:bCs/>
          <w:color w:val="4DA4D8" w:themeColor="accent3" w:themeTint="99"/>
        </w:rPr>
      </w:pPr>
      <w:r w:rsidRPr="004D4C73">
        <w:rPr>
          <w:b/>
          <w:bCs/>
          <w:color w:val="4DA4D8" w:themeColor="accent3" w:themeTint="99"/>
        </w:rPr>
        <w:t>Lessons Learned</w:t>
      </w:r>
      <w:r>
        <w:rPr>
          <w:b/>
          <w:bCs/>
          <w:color w:val="4DA4D8" w:themeColor="accent3" w:themeTint="99"/>
        </w:rPr>
        <w:t>:</w:t>
      </w:r>
    </w:p>
    <w:p w14:paraId="3BADEBDC" w14:textId="5285E32B" w:rsidR="004D4C73" w:rsidRDefault="003123A5" w:rsidP="004D4C73">
      <w:r>
        <w:t xml:space="preserve">While the billing and payment data was </w:t>
      </w:r>
      <w:r w:rsidR="00CC0159">
        <w:t>useful</w:t>
      </w:r>
      <w:r>
        <w:t>, it was very difficult to discern any real pattern in the data. Analysis of those data points was not revealing and what we were able to</w:t>
      </w:r>
      <w:r w:rsidR="00E3002C">
        <w:t xml:space="preserve"> </w:t>
      </w:r>
      <w:r>
        <w:t>discover about the data was unremarkable. In of itself, there were no real indicators that seemed predictive of wh</w:t>
      </w:r>
      <w:r w:rsidR="00E3002C">
        <w:t xml:space="preserve">ich </w:t>
      </w:r>
      <w:r>
        <w:t>customers would default on</w:t>
      </w:r>
      <w:r w:rsidR="00E3002C">
        <w:t xml:space="preserve"> their</w:t>
      </w:r>
      <w:r>
        <w:t xml:space="preserve"> loans. In the current form, the data does not lend itself to determining </w:t>
      </w:r>
      <w:r w:rsidR="00D33F89">
        <w:t>any</w:t>
      </w:r>
      <w:r w:rsidR="005E54AB">
        <w:t xml:space="preserve"> definitive</w:t>
      </w:r>
      <w:r w:rsidR="00042CD1">
        <w:t xml:space="preserve"> insights</w:t>
      </w:r>
      <w:r>
        <w:t>.</w:t>
      </w:r>
      <w:r w:rsidR="00C031FD">
        <w:t xml:space="preserve"> For modeling and machine learning, it will be necessary to process this data further</w:t>
      </w:r>
      <w:r w:rsidR="006E6629">
        <w:t xml:space="preserve"> for the algorithms to identify any patterns</w:t>
      </w:r>
      <w:r w:rsidR="0036530D">
        <w:t xml:space="preserve"> that might be predictive.</w:t>
      </w:r>
    </w:p>
    <w:p w14:paraId="319261A2" w14:textId="13EE99AD" w:rsidR="00D33F89" w:rsidRDefault="00D33F89" w:rsidP="004D4C73">
      <w:pPr>
        <w:rPr>
          <w:b/>
          <w:bCs/>
          <w:color w:val="4DA4D8" w:themeColor="accent3" w:themeTint="99"/>
        </w:rPr>
      </w:pPr>
      <w:r>
        <w:rPr>
          <w:b/>
          <w:bCs/>
          <w:color w:val="4DA4D8" w:themeColor="accent3" w:themeTint="99"/>
        </w:rPr>
        <w:t>Recommendations</w:t>
      </w:r>
      <w:r>
        <w:rPr>
          <w:b/>
          <w:bCs/>
          <w:color w:val="4DA4D8" w:themeColor="accent3" w:themeTint="99"/>
        </w:rPr>
        <w:t>:</w:t>
      </w:r>
    </w:p>
    <w:p w14:paraId="0CEEC587" w14:textId="43A6EAD6" w:rsidR="004D4C73" w:rsidRPr="00855982" w:rsidRDefault="00E24E71" w:rsidP="004D4C73">
      <w:r>
        <w:t>In this EDA, we evaluated the data without feature selection or any modif</w:t>
      </w:r>
      <w:r w:rsidR="005B021D">
        <w:t>ication</w:t>
      </w:r>
      <w:r>
        <w:t xml:space="preserve"> of the dataset beyond the preprocessing st</w:t>
      </w:r>
      <w:r w:rsidR="00296AE7">
        <w:t xml:space="preserve">age. While the payment and billing histories </w:t>
      </w:r>
      <w:r w:rsidR="00555CB3">
        <w:t>may be he</w:t>
      </w:r>
      <w:r w:rsidR="00386436">
        <w:t>l</w:t>
      </w:r>
      <w:r w:rsidR="00555CB3">
        <w:t>pful</w:t>
      </w:r>
      <w:r w:rsidR="00296AE7">
        <w:t>,</w:t>
      </w:r>
      <w:r w:rsidR="00386436">
        <w:t xml:space="preserve"> </w:t>
      </w:r>
      <w:r w:rsidR="005E5109">
        <w:t>apply</w:t>
      </w:r>
      <w:r w:rsidR="00386436">
        <w:t>ing</w:t>
      </w:r>
      <w:r w:rsidR="005E5109">
        <w:t xml:space="preserve"> them </w:t>
      </w:r>
      <w:r w:rsidR="00751757">
        <w:t>in the</w:t>
      </w:r>
      <w:r w:rsidR="00012F09">
        <w:t xml:space="preserve"> current </w:t>
      </w:r>
      <w:r w:rsidR="002121F9">
        <w:t xml:space="preserve">file structure </w:t>
      </w:r>
      <w:r w:rsidR="00170F48">
        <w:t>along with</w:t>
      </w:r>
      <w:r w:rsidR="005E5109">
        <w:t xml:space="preserve"> the demographic information</w:t>
      </w:r>
      <w:r w:rsidR="007525B2">
        <w:t xml:space="preserve"> may not be the best approach. </w:t>
      </w:r>
      <w:r w:rsidR="0079683E">
        <w:t xml:space="preserve">Consolidating the billing and payment data into </w:t>
      </w:r>
      <w:r w:rsidR="006C5ECC">
        <w:t>“</w:t>
      </w:r>
      <w:r w:rsidR="00E90B9F">
        <w:t>summary</w:t>
      </w:r>
      <w:r w:rsidR="006C5ECC">
        <w:t>”</w:t>
      </w:r>
      <w:r w:rsidR="00E90B9F">
        <w:t xml:space="preserve"> statistic</w:t>
      </w:r>
      <w:r w:rsidR="00DA1201">
        <w:t>s</w:t>
      </w:r>
      <w:r w:rsidR="00647787">
        <w:t xml:space="preserve"> </w:t>
      </w:r>
      <w:r w:rsidR="008F111F">
        <w:t xml:space="preserve">would make the data easier to work with at the EDA stage and </w:t>
      </w:r>
      <w:r w:rsidR="00647787">
        <w:t>might be more revealing.</w:t>
      </w:r>
      <w:r w:rsidR="00FC17DF">
        <w:t xml:space="preserve"> </w:t>
      </w:r>
    </w:p>
    <w:sectPr w:rsidR="004D4C73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B86D" w14:textId="77777777" w:rsidR="004D4C73" w:rsidRDefault="004D4C73" w:rsidP="00855982">
      <w:pPr>
        <w:spacing w:after="0" w:line="240" w:lineRule="auto"/>
      </w:pPr>
      <w:r>
        <w:separator/>
      </w:r>
    </w:p>
  </w:endnote>
  <w:endnote w:type="continuationSeparator" w:id="0">
    <w:p w14:paraId="474E0877" w14:textId="77777777" w:rsidR="004D4C73" w:rsidRDefault="004D4C7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9839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3CF5" w14:textId="77777777" w:rsidR="004D4C73" w:rsidRDefault="004D4C73" w:rsidP="00855982">
      <w:pPr>
        <w:spacing w:after="0" w:line="240" w:lineRule="auto"/>
      </w:pPr>
      <w:r>
        <w:separator/>
      </w:r>
    </w:p>
  </w:footnote>
  <w:footnote w:type="continuationSeparator" w:id="0">
    <w:p w14:paraId="256AFFB1" w14:textId="77777777" w:rsidR="004D4C73" w:rsidRDefault="004D4C7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685369">
    <w:abstractNumId w:val="14"/>
  </w:num>
  <w:num w:numId="2" w16cid:durableId="12867346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84812">
    <w:abstractNumId w:val="14"/>
  </w:num>
  <w:num w:numId="4" w16cid:durableId="1959483342">
    <w:abstractNumId w:val="14"/>
  </w:num>
  <w:num w:numId="5" w16cid:durableId="161775446">
    <w:abstractNumId w:val="14"/>
  </w:num>
  <w:num w:numId="6" w16cid:durableId="665786180">
    <w:abstractNumId w:val="14"/>
  </w:num>
  <w:num w:numId="7" w16cid:durableId="597375838">
    <w:abstractNumId w:val="14"/>
  </w:num>
  <w:num w:numId="8" w16cid:durableId="1825585122">
    <w:abstractNumId w:val="14"/>
  </w:num>
  <w:num w:numId="9" w16cid:durableId="293408555">
    <w:abstractNumId w:val="14"/>
  </w:num>
  <w:num w:numId="10" w16cid:durableId="1967659720">
    <w:abstractNumId w:val="14"/>
  </w:num>
  <w:num w:numId="11" w16cid:durableId="584460919">
    <w:abstractNumId w:val="14"/>
  </w:num>
  <w:num w:numId="12" w16cid:durableId="2144544691">
    <w:abstractNumId w:val="14"/>
  </w:num>
  <w:num w:numId="13" w16cid:durableId="1141582762">
    <w:abstractNumId w:val="10"/>
  </w:num>
  <w:num w:numId="14" w16cid:durableId="1764645543">
    <w:abstractNumId w:val="17"/>
  </w:num>
  <w:num w:numId="15" w16cid:durableId="1648245441">
    <w:abstractNumId w:val="11"/>
  </w:num>
  <w:num w:numId="16" w16cid:durableId="2093430260">
    <w:abstractNumId w:val="12"/>
  </w:num>
  <w:num w:numId="17" w16cid:durableId="1852643073">
    <w:abstractNumId w:val="9"/>
  </w:num>
  <w:num w:numId="18" w16cid:durableId="383916471">
    <w:abstractNumId w:val="7"/>
  </w:num>
  <w:num w:numId="19" w16cid:durableId="1243221313">
    <w:abstractNumId w:val="6"/>
  </w:num>
  <w:num w:numId="20" w16cid:durableId="2080983259">
    <w:abstractNumId w:val="5"/>
  </w:num>
  <w:num w:numId="21" w16cid:durableId="108085695">
    <w:abstractNumId w:val="4"/>
  </w:num>
  <w:num w:numId="22" w16cid:durableId="1434549484">
    <w:abstractNumId w:val="8"/>
  </w:num>
  <w:num w:numId="23" w16cid:durableId="1452214089">
    <w:abstractNumId w:val="3"/>
  </w:num>
  <w:num w:numId="24" w16cid:durableId="1283656209">
    <w:abstractNumId w:val="2"/>
  </w:num>
  <w:num w:numId="25" w16cid:durableId="496961765">
    <w:abstractNumId w:val="1"/>
  </w:num>
  <w:num w:numId="26" w16cid:durableId="1872037758">
    <w:abstractNumId w:val="0"/>
  </w:num>
  <w:num w:numId="27" w16cid:durableId="897130711">
    <w:abstractNumId w:val="13"/>
  </w:num>
  <w:num w:numId="28" w16cid:durableId="836767354">
    <w:abstractNumId w:val="15"/>
  </w:num>
  <w:num w:numId="29" w16cid:durableId="19087590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73"/>
    <w:rsid w:val="00012F09"/>
    <w:rsid w:val="00022068"/>
    <w:rsid w:val="00042CD1"/>
    <w:rsid w:val="0005000A"/>
    <w:rsid w:val="00060CB6"/>
    <w:rsid w:val="001164AC"/>
    <w:rsid w:val="001267FF"/>
    <w:rsid w:val="00170F48"/>
    <w:rsid w:val="001D4362"/>
    <w:rsid w:val="001F000D"/>
    <w:rsid w:val="002121F9"/>
    <w:rsid w:val="00296AE7"/>
    <w:rsid w:val="002B4FE2"/>
    <w:rsid w:val="003123A5"/>
    <w:rsid w:val="0036530D"/>
    <w:rsid w:val="00386436"/>
    <w:rsid w:val="004D4C73"/>
    <w:rsid w:val="00555CB3"/>
    <w:rsid w:val="005650B3"/>
    <w:rsid w:val="005B021D"/>
    <w:rsid w:val="005C334A"/>
    <w:rsid w:val="005E5109"/>
    <w:rsid w:val="005E54AB"/>
    <w:rsid w:val="00647787"/>
    <w:rsid w:val="006C5ECC"/>
    <w:rsid w:val="006E6629"/>
    <w:rsid w:val="007024CE"/>
    <w:rsid w:val="00751757"/>
    <w:rsid w:val="007525B2"/>
    <w:rsid w:val="007833A7"/>
    <w:rsid w:val="0079683E"/>
    <w:rsid w:val="00801F62"/>
    <w:rsid w:val="00855982"/>
    <w:rsid w:val="008F111F"/>
    <w:rsid w:val="00956E03"/>
    <w:rsid w:val="009806DD"/>
    <w:rsid w:val="00A10484"/>
    <w:rsid w:val="00AB5E9E"/>
    <w:rsid w:val="00AF4484"/>
    <w:rsid w:val="00B8356A"/>
    <w:rsid w:val="00BA4DBE"/>
    <w:rsid w:val="00BB5186"/>
    <w:rsid w:val="00BF5146"/>
    <w:rsid w:val="00C031FD"/>
    <w:rsid w:val="00C45555"/>
    <w:rsid w:val="00CC0159"/>
    <w:rsid w:val="00CF27D9"/>
    <w:rsid w:val="00D33F89"/>
    <w:rsid w:val="00D62450"/>
    <w:rsid w:val="00D80D24"/>
    <w:rsid w:val="00DA1201"/>
    <w:rsid w:val="00DB735B"/>
    <w:rsid w:val="00DE1BCB"/>
    <w:rsid w:val="00E2289C"/>
    <w:rsid w:val="00E24E71"/>
    <w:rsid w:val="00E3002C"/>
    <w:rsid w:val="00E41711"/>
    <w:rsid w:val="00E64C97"/>
    <w:rsid w:val="00E90B9F"/>
    <w:rsid w:val="00FC17D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FFB"/>
  <w15:chartTrackingRefBased/>
  <w15:docId w15:val="{BCA033B5-B60D-4A03-B022-CB9B10C4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v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380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Valades</dc:creator>
  <cp:lastModifiedBy>Richard Valades</cp:lastModifiedBy>
  <cp:revision>50</cp:revision>
  <dcterms:created xsi:type="dcterms:W3CDTF">2022-05-17T23:09:00Z</dcterms:created>
  <dcterms:modified xsi:type="dcterms:W3CDTF">2022-05-18T05:29:00Z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