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3903" w14:textId="5D04610C" w:rsidR="00A10484" w:rsidRPr="004D4C73" w:rsidRDefault="00A10484">
      <w:pPr>
        <w:pStyle w:val="Title"/>
        <w:rPr>
          <w:sz w:val="16"/>
          <w:szCs w:val="16"/>
        </w:rPr>
      </w:pPr>
    </w:p>
    <w:p w14:paraId="785A3C8D" w14:textId="7DBBACBA" w:rsidR="004D4C73" w:rsidRPr="00F44ED0" w:rsidRDefault="004D4C73" w:rsidP="00F44ED0">
      <w:pPr>
        <w:pStyle w:val="Heading1"/>
      </w:pPr>
      <w:r>
        <w:t xml:space="preserve">Credit One – </w:t>
      </w:r>
      <w:r w:rsidR="00693D55">
        <w:t>Customer Default Identification Report</w:t>
      </w:r>
    </w:p>
    <w:p w14:paraId="78147B2D" w14:textId="69D5FD4D" w:rsidR="004D4C73" w:rsidRPr="00DE51D4" w:rsidRDefault="00263398" w:rsidP="004D4C73">
      <w:pPr>
        <w:rPr>
          <w:b/>
          <w:bCs/>
          <w:color w:val="4DA4D8" w:themeColor="accent3" w:themeTint="99"/>
          <w:sz w:val="24"/>
          <w:szCs w:val="24"/>
        </w:rPr>
      </w:pPr>
      <w:r w:rsidRPr="00DE51D4">
        <w:rPr>
          <w:b/>
          <w:bCs/>
          <w:color w:val="4DA4D8" w:themeColor="accent3" w:themeTint="99"/>
          <w:sz w:val="24"/>
          <w:szCs w:val="24"/>
        </w:rPr>
        <w:t xml:space="preserve">Project </w:t>
      </w:r>
      <w:r w:rsidR="003123A5" w:rsidRPr="00DE51D4">
        <w:rPr>
          <w:b/>
          <w:bCs/>
          <w:color w:val="4DA4D8" w:themeColor="accent3" w:themeTint="99"/>
          <w:sz w:val="24"/>
          <w:szCs w:val="24"/>
        </w:rPr>
        <w:t>Summary</w:t>
      </w:r>
      <w:r w:rsidR="004D4C73" w:rsidRPr="00DE51D4">
        <w:rPr>
          <w:b/>
          <w:bCs/>
          <w:color w:val="4DA4D8" w:themeColor="accent3" w:themeTint="99"/>
          <w:sz w:val="24"/>
          <w:szCs w:val="24"/>
        </w:rPr>
        <w:t>:</w:t>
      </w:r>
    </w:p>
    <w:p w14:paraId="581E64F3" w14:textId="76FADBBA" w:rsidR="00AB5E9E" w:rsidRDefault="009B0B95" w:rsidP="004D4C73">
      <w:r>
        <w:t>The scope of this project was to evaluate</w:t>
      </w:r>
      <w:r w:rsidR="00D0229E">
        <w:t xml:space="preserve"> customer default rates and determine possible solutions using machine learning to predict </w:t>
      </w:r>
      <w:r w:rsidR="004A4265">
        <w:t xml:space="preserve">which customers are </w:t>
      </w:r>
      <w:r w:rsidR="00AB27A3">
        <w:t xml:space="preserve">most </w:t>
      </w:r>
      <w:r w:rsidR="004A4265">
        <w:t>likely to default on their loans.</w:t>
      </w:r>
      <w:r w:rsidR="00EC3538">
        <w:t xml:space="preserve"> Based on the</w:t>
      </w:r>
      <w:r w:rsidR="00F605A2">
        <w:t xml:space="preserve"> Data Science framework that was provided at the start of the project</w:t>
      </w:r>
      <w:r w:rsidR="007612E8">
        <w:t>, we applied a rigorous methodology to</w:t>
      </w:r>
      <w:r w:rsidR="00E94316">
        <w:t xml:space="preserve"> </w:t>
      </w:r>
      <w:r w:rsidR="00A76434">
        <w:t>clean and pre-process the data</w:t>
      </w:r>
      <w:r w:rsidR="00215D64">
        <w:t xml:space="preserve"> and perform</w:t>
      </w:r>
      <w:r w:rsidR="009153FE">
        <w:t xml:space="preserve"> </w:t>
      </w:r>
      <w:r w:rsidR="00631209">
        <w:t>exploratory data analysis</w:t>
      </w:r>
      <w:r w:rsidR="0063510F">
        <w:t xml:space="preserve">. Some </w:t>
      </w:r>
      <w:r w:rsidR="00965E8F">
        <w:t xml:space="preserve">formatting changes </w:t>
      </w:r>
      <w:r w:rsidR="0063510F">
        <w:t xml:space="preserve">were necessary </w:t>
      </w:r>
      <w:r w:rsidR="00215D64">
        <w:t>(changing</w:t>
      </w:r>
      <w:r w:rsidR="00691AE5">
        <w:t xml:space="preserve"> data types, one-hot encoding</w:t>
      </w:r>
      <w:r w:rsidR="00370D57">
        <w:t>, etc</w:t>
      </w:r>
      <w:r w:rsidR="007E1041">
        <w:t>.</w:t>
      </w:r>
      <w:r w:rsidR="00122233">
        <w:t xml:space="preserve">) </w:t>
      </w:r>
      <w:r w:rsidR="00965E8F">
        <w:t>to prepare the data for modeling.</w:t>
      </w:r>
      <w:r w:rsidR="0097334B">
        <w:t xml:space="preserve"> </w:t>
      </w:r>
      <w:r w:rsidR="005F3C8B">
        <w:t xml:space="preserve">Based on the EDA, we determined </w:t>
      </w:r>
      <w:r w:rsidR="00695970">
        <w:t>which machine learning models would be most appropriate</w:t>
      </w:r>
      <w:r w:rsidR="00544D65">
        <w:t xml:space="preserve"> for our use case. We</w:t>
      </w:r>
      <w:r w:rsidR="002D59BE">
        <w:t xml:space="preserve"> created</w:t>
      </w:r>
      <w:r w:rsidR="00544D65">
        <w:t xml:space="preserve"> four models</w:t>
      </w:r>
      <w:r w:rsidR="00073F3F">
        <w:t xml:space="preserve"> and performed cross-validation and confusion scoring to </w:t>
      </w:r>
      <w:r w:rsidR="0068075F">
        <w:t>evaluate model effectiveness.</w:t>
      </w:r>
    </w:p>
    <w:p w14:paraId="4148E41C" w14:textId="4CC8D445" w:rsidR="003123A5" w:rsidRDefault="00000C3F" w:rsidP="003123A5">
      <w:pPr>
        <w:rPr>
          <w:b/>
          <w:bCs/>
          <w:color w:val="4DA4D8" w:themeColor="accent3" w:themeTint="99"/>
          <w:sz w:val="24"/>
          <w:szCs w:val="24"/>
        </w:rPr>
      </w:pPr>
      <w:r w:rsidRPr="003402D4">
        <w:rPr>
          <w:b/>
          <w:bCs/>
          <w:color w:val="4DA4D8" w:themeColor="accent3" w:themeTint="99"/>
          <w:sz w:val="24"/>
          <w:szCs w:val="24"/>
        </w:rPr>
        <w:t>Exploratory Data Analysis</w:t>
      </w:r>
      <w:r w:rsidR="003402D4" w:rsidRPr="003402D4">
        <w:rPr>
          <w:b/>
          <w:bCs/>
          <w:color w:val="4DA4D8" w:themeColor="accent3" w:themeTint="99"/>
          <w:sz w:val="24"/>
          <w:szCs w:val="24"/>
        </w:rPr>
        <w:t xml:space="preserve"> – Findings:</w:t>
      </w:r>
    </w:p>
    <w:p w14:paraId="062D1EFC" w14:textId="4C76ECD9" w:rsidR="001224FE" w:rsidRDefault="002C4165" w:rsidP="003123A5">
      <w:r>
        <w:t xml:space="preserve">Initial evaluation of the data </w:t>
      </w:r>
      <w:r w:rsidR="009B6CEB">
        <w:t xml:space="preserve">was </w:t>
      </w:r>
      <w:r w:rsidR="00AE5939">
        <w:t>unrevealing,</w:t>
      </w:r>
      <w:r w:rsidR="009B6CEB">
        <w:t xml:space="preserve"> and it was difficult to determine if any one feature of the data had </w:t>
      </w:r>
      <w:r w:rsidR="004A3783">
        <w:t>predictive value.</w:t>
      </w:r>
      <w:r w:rsidR="002B2E07">
        <w:t xml:space="preserve"> However, a </w:t>
      </w:r>
      <w:proofErr w:type="spellStart"/>
      <w:r w:rsidR="009961B1">
        <w:t>PhiK</w:t>
      </w:r>
      <w:proofErr w:type="spellEnd"/>
      <w:r w:rsidR="009961B1">
        <w:t xml:space="preserve"> correlation </w:t>
      </w:r>
      <w:r w:rsidR="002B2E07">
        <w:t>analysis of the data showed a</w:t>
      </w:r>
      <w:r w:rsidR="001D3E12">
        <w:t xml:space="preserve">n interesting interaction </w:t>
      </w:r>
      <w:r w:rsidR="002B2E07">
        <w:t>between</w:t>
      </w:r>
      <w:r w:rsidR="00AE1432">
        <w:t xml:space="preserve"> customer payment and billing history</w:t>
      </w:r>
      <w:r w:rsidR="001D3E12">
        <w:t>. (</w:t>
      </w:r>
      <w:r w:rsidR="00AE1432">
        <w:t>s</w:t>
      </w:r>
      <w:r w:rsidR="009961B1">
        <w:t>ee</w:t>
      </w:r>
      <w:r w:rsidR="00AE1432">
        <w:t xml:space="preserve"> below</w:t>
      </w:r>
      <w:r w:rsidR="009961B1">
        <w:t>)</w:t>
      </w:r>
    </w:p>
    <w:p w14:paraId="73F9C5E2" w14:textId="77777777" w:rsidR="009961B1" w:rsidRDefault="009961B1" w:rsidP="003123A5"/>
    <w:p w14:paraId="164D1607" w14:textId="05EA8175" w:rsidR="00F44ED0" w:rsidRDefault="00EE5611" w:rsidP="00F44ED0">
      <w:pPr>
        <w:jc w:val="center"/>
        <w:rPr>
          <w:b/>
          <w:bCs/>
          <w:color w:val="4DA4D8" w:themeColor="accent3" w:themeTint="99"/>
        </w:rPr>
      </w:pPr>
      <w:r w:rsidRPr="00EE5611">
        <w:rPr>
          <w:b/>
          <w:bCs/>
          <w:color w:val="4DA4D8" w:themeColor="accent3" w:themeTint="99"/>
        </w:rPr>
        <w:drawing>
          <wp:inline distT="0" distB="0" distL="0" distR="0" wp14:anchorId="2DD15EA2" wp14:editId="30ED2CF0">
            <wp:extent cx="4122080" cy="3368040"/>
            <wp:effectExtent l="0" t="0" r="0" b="3810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9613" cy="337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B0DC" w14:textId="222B1CFC" w:rsidR="00C61ADA" w:rsidRDefault="00190AA4" w:rsidP="00C61ADA">
      <w:r>
        <w:t>Additionally</w:t>
      </w:r>
      <w:r w:rsidR="001601F6">
        <w:t>,</w:t>
      </w:r>
      <w:r>
        <w:t xml:space="preserve"> we noted a</w:t>
      </w:r>
      <w:r w:rsidR="005E247D">
        <w:t xml:space="preserve"> strong</w:t>
      </w:r>
      <w:r>
        <w:t xml:space="preserve"> correlation between</w:t>
      </w:r>
      <w:r w:rsidR="005E247D">
        <w:t xml:space="preserve"> </w:t>
      </w:r>
      <w:r w:rsidR="00F97168">
        <w:t>balance limit</w:t>
      </w:r>
      <w:r w:rsidR="005E247D">
        <w:t xml:space="preserve"> and </w:t>
      </w:r>
      <w:r w:rsidR="001601F6">
        <w:t xml:space="preserve">billing </w:t>
      </w:r>
      <w:r w:rsidR="009C21E2">
        <w:t>history</w:t>
      </w:r>
      <w:r w:rsidR="00F937B2">
        <w:t xml:space="preserve"> and </w:t>
      </w:r>
      <w:r w:rsidR="005F517A">
        <w:t xml:space="preserve">a moderate correlation between </w:t>
      </w:r>
      <w:r w:rsidR="00350B19">
        <w:t>balance limit</w:t>
      </w:r>
      <w:r w:rsidR="005F517A">
        <w:t xml:space="preserve"> and </w:t>
      </w:r>
      <w:r w:rsidR="00EB0AD2">
        <w:t>use of revolving credit</w:t>
      </w:r>
      <w:r w:rsidR="004B3EE9">
        <w:t xml:space="preserve"> (PAY_0 – PAY_6)</w:t>
      </w:r>
      <w:r w:rsidR="00405574">
        <w:t>.</w:t>
      </w:r>
      <w:r w:rsidR="00E02BCD">
        <w:t xml:space="preserve"> There is also a moderate correlation present between</w:t>
      </w:r>
      <w:r w:rsidR="00282DA0">
        <w:t xml:space="preserve"> customer default and </w:t>
      </w:r>
      <w:r w:rsidR="00F64405">
        <w:t>use</w:t>
      </w:r>
      <w:r w:rsidR="000465AF">
        <w:t xml:space="preserve"> of revolving credit</w:t>
      </w:r>
      <w:r w:rsidR="00AF1260">
        <w:t>.</w:t>
      </w:r>
    </w:p>
    <w:p w14:paraId="466B0629" w14:textId="77777777" w:rsidR="00BA580E" w:rsidRDefault="00BA580E" w:rsidP="00C61ADA"/>
    <w:p w14:paraId="20A4C64E" w14:textId="5104E1E5" w:rsidR="00D4730C" w:rsidRDefault="00D4730C" w:rsidP="00C61ADA">
      <w:r>
        <w:lastRenderedPageBreak/>
        <w:t xml:space="preserve">Analysis of customer demographic data </w:t>
      </w:r>
      <w:r w:rsidR="00153C41">
        <w:t xml:space="preserve">did not show any one </w:t>
      </w:r>
      <w:r w:rsidR="00FB0F6B">
        <w:t>customer feature that was telling of default behavior. In looking at default rates by</w:t>
      </w:r>
      <w:r w:rsidR="00475D69">
        <w:t xml:space="preserve"> customer age for example, </w:t>
      </w:r>
      <w:r w:rsidR="00FC0FFA">
        <w:t>there was a similar pattern</w:t>
      </w:r>
      <w:r w:rsidR="00C06528">
        <w:t xml:space="preserve"> between </w:t>
      </w:r>
      <w:r w:rsidR="007D4EB7">
        <w:t>the distribution of the customer’s ages and rates of default. (see below)</w:t>
      </w:r>
    </w:p>
    <w:p w14:paraId="0749BB12" w14:textId="53DB0DD6" w:rsidR="000A4CAE" w:rsidRDefault="002C6628" w:rsidP="00C61ADA">
      <w:r w:rsidRPr="002C6628">
        <w:drawing>
          <wp:inline distT="0" distB="0" distL="0" distR="0" wp14:anchorId="15AEAD93" wp14:editId="0CB96A2F">
            <wp:extent cx="4610100" cy="2273664"/>
            <wp:effectExtent l="0" t="0" r="0" b="0"/>
            <wp:docPr id="2" name="Picture 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2255" cy="227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8855" w14:textId="6FBEB99E" w:rsidR="00F44ED0" w:rsidRDefault="00B269AD" w:rsidP="00F44ED0">
      <w:r w:rsidRPr="00B269AD">
        <w:drawing>
          <wp:inline distT="0" distB="0" distL="0" distR="0" wp14:anchorId="22C87BCD" wp14:editId="51D5DB0C">
            <wp:extent cx="5943600" cy="143002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7AE7" w14:textId="2A6E7717" w:rsidR="00295632" w:rsidRDefault="00295632" w:rsidP="00F44ED0">
      <w:r>
        <w:t xml:space="preserve">This pattern </w:t>
      </w:r>
      <w:r w:rsidR="00F8201E">
        <w:t>remained similar when evaluating customer counts and default rates across other demographic features such as marriage status, education level</w:t>
      </w:r>
      <w:r w:rsidR="00BF12F9">
        <w:t xml:space="preserve"> and gender.</w:t>
      </w:r>
      <w:r w:rsidR="00192E54">
        <w:t xml:space="preserve"> (see </w:t>
      </w:r>
      <w:r w:rsidR="00007547">
        <w:t xml:space="preserve">example </w:t>
      </w:r>
      <w:r w:rsidR="00192E54">
        <w:t>below)</w:t>
      </w:r>
    </w:p>
    <w:p w14:paraId="13BC87E8" w14:textId="4AC617D8" w:rsidR="00192E54" w:rsidRDefault="00F63E78" w:rsidP="00F44ED0">
      <w:r w:rsidRPr="00F63E78">
        <w:drawing>
          <wp:inline distT="0" distB="0" distL="0" distR="0" wp14:anchorId="2C8D8C6A" wp14:editId="0FDCDA87">
            <wp:extent cx="5120640" cy="2461028"/>
            <wp:effectExtent l="0" t="0" r="381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0839" cy="24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696F" w14:textId="76009BF7" w:rsidR="0075203D" w:rsidRDefault="0075203D" w:rsidP="00F44ED0">
      <w:r w:rsidRPr="0075203D">
        <w:lastRenderedPageBreak/>
        <w:drawing>
          <wp:inline distT="0" distB="0" distL="0" distR="0" wp14:anchorId="106C3AA9" wp14:editId="314D4D36">
            <wp:extent cx="5532120" cy="2368882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674" cy="237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5583" w14:textId="73A14AFE" w:rsidR="007D0F84" w:rsidRPr="00DE056B" w:rsidRDefault="007D0F84" w:rsidP="007D0F84">
      <w:pPr>
        <w:rPr>
          <w:b/>
          <w:bCs/>
          <w:color w:val="4DA4D8" w:themeColor="accent3" w:themeTint="99"/>
          <w:sz w:val="24"/>
          <w:szCs w:val="24"/>
        </w:rPr>
      </w:pPr>
      <w:r w:rsidRPr="00DE056B">
        <w:rPr>
          <w:b/>
          <w:bCs/>
          <w:color w:val="4DA4D8" w:themeColor="accent3" w:themeTint="99"/>
          <w:sz w:val="24"/>
          <w:szCs w:val="24"/>
        </w:rPr>
        <w:t>Machine Learning Modeling</w:t>
      </w:r>
      <w:r w:rsidRPr="00DE056B">
        <w:rPr>
          <w:b/>
          <w:bCs/>
          <w:color w:val="4DA4D8" w:themeColor="accent3" w:themeTint="99"/>
          <w:sz w:val="24"/>
          <w:szCs w:val="24"/>
        </w:rPr>
        <w:t>:</w:t>
      </w:r>
    </w:p>
    <w:p w14:paraId="4536645F" w14:textId="6B160C84" w:rsidR="007D0F84" w:rsidRPr="00855982" w:rsidRDefault="00913DC9" w:rsidP="007D0F84">
      <w:r>
        <w:t>We evaluated four machine learning algorithms</w:t>
      </w:r>
      <w:r w:rsidR="00F0477A">
        <w:t xml:space="preserve"> using our data. </w:t>
      </w:r>
      <w:r w:rsidR="0056386F">
        <w:t>(Random Forest Classifier, Gradient Boosting Classifier, Decision Tree Classifier</w:t>
      </w:r>
      <w:r w:rsidR="00F312A9">
        <w:t xml:space="preserve"> and </w:t>
      </w:r>
      <w:r w:rsidR="00D62149">
        <w:t>Support Vector Classifi</w:t>
      </w:r>
      <w:r w:rsidR="000E58BD">
        <w:t>er)</w:t>
      </w:r>
      <w:r w:rsidR="00FA4326">
        <w:t xml:space="preserve"> All four models performed similarly</w:t>
      </w:r>
      <w:r w:rsidR="00BC1458">
        <w:t xml:space="preserve">, </w:t>
      </w:r>
      <w:r w:rsidR="009B49A4">
        <w:t>with the Random Forest and Gradient Boosting classifiers performing</w:t>
      </w:r>
      <w:r w:rsidR="00F9438C">
        <w:t xml:space="preserve"> equally well</w:t>
      </w:r>
      <w:r w:rsidR="006C5A23">
        <w:t>.</w:t>
      </w:r>
      <w:r w:rsidR="0043084C">
        <w:t xml:space="preserve"> </w:t>
      </w:r>
      <w:r w:rsidR="00871585">
        <w:t>Validating the models with the test data</w:t>
      </w:r>
      <w:r w:rsidR="0059592C">
        <w:t xml:space="preserve"> showed a</w:t>
      </w:r>
      <w:r w:rsidR="00EB04F3">
        <w:t xml:space="preserve"> weighted average accuracy </w:t>
      </w:r>
      <w:r w:rsidR="0059592C">
        <w:t xml:space="preserve">score of </w:t>
      </w:r>
      <w:r w:rsidR="004D59C9">
        <w:t>0.80 and 0.81 respectively.</w:t>
      </w:r>
      <w:r w:rsidR="00140D6D">
        <w:t xml:space="preserve"> Confusion matrix pattern was also similar between the two models.</w:t>
      </w:r>
    </w:p>
    <w:p w14:paraId="383F3051" w14:textId="77777777" w:rsidR="007D0F84" w:rsidRDefault="007D0F84" w:rsidP="004D4C73">
      <w:pPr>
        <w:rPr>
          <w:b/>
          <w:bCs/>
          <w:color w:val="4DA4D8" w:themeColor="accent3" w:themeTint="99"/>
        </w:rPr>
      </w:pPr>
    </w:p>
    <w:p w14:paraId="0CEEC587" w14:textId="712CE700" w:rsidR="004D4C73" w:rsidRPr="00DE056B" w:rsidRDefault="00140D6D" w:rsidP="004D4C73">
      <w:pPr>
        <w:rPr>
          <w:b/>
          <w:bCs/>
          <w:color w:val="4DA4D8" w:themeColor="accent3" w:themeTint="99"/>
          <w:sz w:val="24"/>
          <w:szCs w:val="24"/>
        </w:rPr>
      </w:pPr>
      <w:r w:rsidRPr="00DE056B">
        <w:rPr>
          <w:b/>
          <w:bCs/>
          <w:color w:val="4DA4D8" w:themeColor="accent3" w:themeTint="99"/>
          <w:sz w:val="24"/>
          <w:szCs w:val="24"/>
        </w:rPr>
        <w:t>Conclusions:</w:t>
      </w:r>
    </w:p>
    <w:p w14:paraId="37EAA39A" w14:textId="6A20A3C3" w:rsidR="00140D6D" w:rsidRDefault="00491AC1" w:rsidP="004D4C73">
      <w:r>
        <w:t>While we were provided a robust dataset, there were no</w:t>
      </w:r>
      <w:r w:rsidR="00FC36D8">
        <w:t xml:space="preserve"> obvious features in the customer data that provide</w:t>
      </w:r>
      <w:r w:rsidR="00F13F37">
        <w:t>d</w:t>
      </w:r>
      <w:r w:rsidR="00FC36D8">
        <w:t xml:space="preserve"> us with a definitive method for </w:t>
      </w:r>
      <w:r w:rsidR="00114C0C">
        <w:t>determining credit worthiness.</w:t>
      </w:r>
      <w:r w:rsidR="00EA0335">
        <w:t xml:space="preserve"> Rather, evaluating </w:t>
      </w:r>
      <w:r w:rsidR="005263D6">
        <w:t>parameters such as payment history</w:t>
      </w:r>
      <w:r w:rsidR="00733C4B">
        <w:t xml:space="preserve"> </w:t>
      </w:r>
      <w:r w:rsidR="00BB59F2">
        <w:t xml:space="preserve">and the </w:t>
      </w:r>
      <w:r w:rsidR="00BC34C9">
        <w:t>use of revolving credit</w:t>
      </w:r>
      <w:r w:rsidR="008C2749">
        <w:t xml:space="preserve"> (especially the initial payment month based on correlation analysis)</w:t>
      </w:r>
      <w:r w:rsidR="00BB59F2">
        <w:t xml:space="preserve"> seem to be the most telling. </w:t>
      </w:r>
      <w:r w:rsidR="0081229E">
        <w:t xml:space="preserve">There is only a weak </w:t>
      </w:r>
      <w:r w:rsidR="00BB59F2">
        <w:t>correlation between credit limit</w:t>
      </w:r>
      <w:r w:rsidR="00C75B31">
        <w:t xml:space="preserve"> </w:t>
      </w:r>
      <w:r w:rsidR="00100CC7">
        <w:t xml:space="preserve">and </w:t>
      </w:r>
      <w:r w:rsidR="00C75B31">
        <w:t>default rate</w:t>
      </w:r>
      <w:r w:rsidR="00D607F5">
        <w:t>, so that relationship</w:t>
      </w:r>
      <w:r w:rsidR="00CA2DCD">
        <w:t xml:space="preserve"> in of </w:t>
      </w:r>
      <w:r w:rsidR="00D607F5">
        <w:t xml:space="preserve">itself is not </w:t>
      </w:r>
      <w:r w:rsidR="00CA2DCD">
        <w:t>predictive</w:t>
      </w:r>
      <w:r w:rsidR="00D607F5">
        <w:t>.</w:t>
      </w:r>
      <w:r w:rsidR="00482531">
        <w:t xml:space="preserve"> Some additional parameters in the customer data such as inc</w:t>
      </w:r>
      <w:r w:rsidR="00E27C07">
        <w:t>ome level</w:t>
      </w:r>
      <w:r w:rsidR="00CA2DCD">
        <w:t xml:space="preserve"> and </w:t>
      </w:r>
      <w:r w:rsidR="00997098">
        <w:t>prior history of loan default</w:t>
      </w:r>
      <w:r w:rsidR="00BF2DBD">
        <w:t xml:space="preserve"> </w:t>
      </w:r>
      <w:r w:rsidR="00434D49">
        <w:t>might be more revealing.</w:t>
      </w:r>
      <w:r w:rsidR="00D975F3">
        <w:t xml:space="preserve"> </w:t>
      </w:r>
      <w:r w:rsidR="00771481">
        <w:t xml:space="preserve">Creation of a “risk index” </w:t>
      </w:r>
      <w:r w:rsidR="0024752B">
        <w:t>based on the available data might help establish a more linear relationship with respect to default</w:t>
      </w:r>
      <w:r w:rsidR="00F810EF">
        <w:t xml:space="preserve"> behaviors. </w:t>
      </w:r>
      <w:r w:rsidR="00D14693">
        <w:t>Finally, bringing in some additional data point</w:t>
      </w:r>
      <w:r w:rsidR="0045229C">
        <w:t xml:space="preserve">s, </w:t>
      </w:r>
      <w:r w:rsidR="00D975F3">
        <w:t xml:space="preserve">along with </w:t>
      </w:r>
      <w:r w:rsidR="001A08D1">
        <w:t>levera</w:t>
      </w:r>
      <w:r w:rsidR="00E01497">
        <w:t xml:space="preserve">ging </w:t>
      </w:r>
      <w:r w:rsidR="005E1621">
        <w:t xml:space="preserve">feature engineering techniques may also </w:t>
      </w:r>
      <w:r w:rsidR="0096529B">
        <w:t>prove insightful.</w:t>
      </w:r>
    </w:p>
    <w:p w14:paraId="666813D6" w14:textId="5595DD0A" w:rsidR="001F0B12" w:rsidRPr="00855982" w:rsidRDefault="003401F5" w:rsidP="004D4C73">
      <w:r>
        <w:t>Our machine learning models</w:t>
      </w:r>
      <w:r w:rsidR="006F779C">
        <w:t xml:space="preserve"> showed good predictive value based on </w:t>
      </w:r>
      <w:r w:rsidR="002C36C4">
        <w:t xml:space="preserve">validation scoring, and either the </w:t>
      </w:r>
      <w:r w:rsidR="00497706">
        <w:t>Random Forest Classifier or Gradient</w:t>
      </w:r>
      <w:r w:rsidR="00EF79E0">
        <w:t xml:space="preserve"> Boosting Classifier could be used to implement a solution to predic</w:t>
      </w:r>
      <w:r w:rsidR="00CD3BC8">
        <w:t>t risk of customer default.</w:t>
      </w:r>
      <w:r w:rsidR="006A2692">
        <w:t xml:space="preserve"> I would encourage </w:t>
      </w:r>
      <w:proofErr w:type="spellStart"/>
      <w:r w:rsidR="006A2692">
        <w:t>CreditOne</w:t>
      </w:r>
      <w:proofErr w:type="spellEnd"/>
      <w:r w:rsidR="006A2692">
        <w:t xml:space="preserve"> to pursue</w:t>
      </w:r>
      <w:r w:rsidR="0066712C">
        <w:t xml:space="preserve"> data engineering</w:t>
      </w:r>
      <w:r w:rsidR="006A2692">
        <w:t xml:space="preserve"> </w:t>
      </w:r>
      <w:r w:rsidR="000D211D">
        <w:t>initiatives along these lines.</w:t>
      </w:r>
    </w:p>
    <w:sectPr w:rsidR="001F0B12" w:rsidRPr="00855982" w:rsidSect="00855982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0B86D" w14:textId="77777777" w:rsidR="004D4C73" w:rsidRDefault="004D4C73" w:rsidP="00855982">
      <w:pPr>
        <w:spacing w:after="0" w:line="240" w:lineRule="auto"/>
      </w:pPr>
      <w:r>
        <w:separator/>
      </w:r>
    </w:p>
  </w:endnote>
  <w:endnote w:type="continuationSeparator" w:id="0">
    <w:p w14:paraId="474E0877" w14:textId="77777777" w:rsidR="004D4C73" w:rsidRDefault="004D4C7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F98391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13CF5" w14:textId="77777777" w:rsidR="004D4C73" w:rsidRDefault="004D4C73" w:rsidP="00855982">
      <w:pPr>
        <w:spacing w:after="0" w:line="240" w:lineRule="auto"/>
      </w:pPr>
      <w:r>
        <w:separator/>
      </w:r>
    </w:p>
  </w:footnote>
  <w:footnote w:type="continuationSeparator" w:id="0">
    <w:p w14:paraId="256AFFB1" w14:textId="77777777" w:rsidR="004D4C73" w:rsidRDefault="004D4C73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1685369">
    <w:abstractNumId w:val="14"/>
  </w:num>
  <w:num w:numId="2" w16cid:durableId="12867346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284812">
    <w:abstractNumId w:val="14"/>
  </w:num>
  <w:num w:numId="4" w16cid:durableId="1959483342">
    <w:abstractNumId w:val="14"/>
  </w:num>
  <w:num w:numId="5" w16cid:durableId="161775446">
    <w:abstractNumId w:val="14"/>
  </w:num>
  <w:num w:numId="6" w16cid:durableId="665786180">
    <w:abstractNumId w:val="14"/>
  </w:num>
  <w:num w:numId="7" w16cid:durableId="597375838">
    <w:abstractNumId w:val="14"/>
  </w:num>
  <w:num w:numId="8" w16cid:durableId="1825585122">
    <w:abstractNumId w:val="14"/>
  </w:num>
  <w:num w:numId="9" w16cid:durableId="293408555">
    <w:abstractNumId w:val="14"/>
  </w:num>
  <w:num w:numId="10" w16cid:durableId="1967659720">
    <w:abstractNumId w:val="14"/>
  </w:num>
  <w:num w:numId="11" w16cid:durableId="584460919">
    <w:abstractNumId w:val="14"/>
  </w:num>
  <w:num w:numId="12" w16cid:durableId="2144544691">
    <w:abstractNumId w:val="14"/>
  </w:num>
  <w:num w:numId="13" w16cid:durableId="1141582762">
    <w:abstractNumId w:val="10"/>
  </w:num>
  <w:num w:numId="14" w16cid:durableId="1764645543">
    <w:abstractNumId w:val="17"/>
  </w:num>
  <w:num w:numId="15" w16cid:durableId="1648245441">
    <w:abstractNumId w:val="11"/>
  </w:num>
  <w:num w:numId="16" w16cid:durableId="2093430260">
    <w:abstractNumId w:val="12"/>
  </w:num>
  <w:num w:numId="17" w16cid:durableId="1852643073">
    <w:abstractNumId w:val="9"/>
  </w:num>
  <w:num w:numId="18" w16cid:durableId="383916471">
    <w:abstractNumId w:val="7"/>
  </w:num>
  <w:num w:numId="19" w16cid:durableId="1243221313">
    <w:abstractNumId w:val="6"/>
  </w:num>
  <w:num w:numId="20" w16cid:durableId="2080983259">
    <w:abstractNumId w:val="5"/>
  </w:num>
  <w:num w:numId="21" w16cid:durableId="108085695">
    <w:abstractNumId w:val="4"/>
  </w:num>
  <w:num w:numId="22" w16cid:durableId="1434549484">
    <w:abstractNumId w:val="8"/>
  </w:num>
  <w:num w:numId="23" w16cid:durableId="1452214089">
    <w:abstractNumId w:val="3"/>
  </w:num>
  <w:num w:numId="24" w16cid:durableId="1283656209">
    <w:abstractNumId w:val="2"/>
  </w:num>
  <w:num w:numId="25" w16cid:durableId="496961765">
    <w:abstractNumId w:val="1"/>
  </w:num>
  <w:num w:numId="26" w16cid:durableId="1872037758">
    <w:abstractNumId w:val="0"/>
  </w:num>
  <w:num w:numId="27" w16cid:durableId="897130711">
    <w:abstractNumId w:val="13"/>
  </w:num>
  <w:num w:numId="28" w16cid:durableId="836767354">
    <w:abstractNumId w:val="15"/>
  </w:num>
  <w:num w:numId="29" w16cid:durableId="19087590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73"/>
    <w:rsid w:val="00000C3F"/>
    <w:rsid w:val="00007547"/>
    <w:rsid w:val="00012F09"/>
    <w:rsid w:val="00022068"/>
    <w:rsid w:val="000312C7"/>
    <w:rsid w:val="00042CD1"/>
    <w:rsid w:val="000465AF"/>
    <w:rsid w:val="0005000A"/>
    <w:rsid w:val="00060CB6"/>
    <w:rsid w:val="00073F3F"/>
    <w:rsid w:val="000A4CAE"/>
    <w:rsid w:val="000D211D"/>
    <w:rsid w:val="000E58BD"/>
    <w:rsid w:val="00100CC7"/>
    <w:rsid w:val="001120F3"/>
    <w:rsid w:val="00114C0C"/>
    <w:rsid w:val="001164AC"/>
    <w:rsid w:val="00122233"/>
    <w:rsid w:val="001224FE"/>
    <w:rsid w:val="001267FF"/>
    <w:rsid w:val="00140D6D"/>
    <w:rsid w:val="00153C41"/>
    <w:rsid w:val="001601F6"/>
    <w:rsid w:val="00170F48"/>
    <w:rsid w:val="00190AA4"/>
    <w:rsid w:val="00192E54"/>
    <w:rsid w:val="001A08D1"/>
    <w:rsid w:val="001D3E12"/>
    <w:rsid w:val="001D4362"/>
    <w:rsid w:val="001E1595"/>
    <w:rsid w:val="001F000D"/>
    <w:rsid w:val="001F0B12"/>
    <w:rsid w:val="002121F9"/>
    <w:rsid w:val="00215D64"/>
    <w:rsid w:val="0024752B"/>
    <w:rsid w:val="00254555"/>
    <w:rsid w:val="00263398"/>
    <w:rsid w:val="00282DA0"/>
    <w:rsid w:val="00295632"/>
    <w:rsid w:val="00296AE7"/>
    <w:rsid w:val="002B2E07"/>
    <w:rsid w:val="002B4FE2"/>
    <w:rsid w:val="002C36C4"/>
    <w:rsid w:val="002C4165"/>
    <w:rsid w:val="002C6628"/>
    <w:rsid w:val="002D59BE"/>
    <w:rsid w:val="003123A5"/>
    <w:rsid w:val="003401F5"/>
    <w:rsid w:val="003402D4"/>
    <w:rsid w:val="00350B19"/>
    <w:rsid w:val="0036530D"/>
    <w:rsid w:val="00370D57"/>
    <w:rsid w:val="00386436"/>
    <w:rsid w:val="003A40D4"/>
    <w:rsid w:val="003C27A1"/>
    <w:rsid w:val="003D6159"/>
    <w:rsid w:val="00405574"/>
    <w:rsid w:val="0043084C"/>
    <w:rsid w:val="00434D49"/>
    <w:rsid w:val="0045229C"/>
    <w:rsid w:val="0046338D"/>
    <w:rsid w:val="00475D69"/>
    <w:rsid w:val="00482531"/>
    <w:rsid w:val="00491AC1"/>
    <w:rsid w:val="00491C0D"/>
    <w:rsid w:val="00497706"/>
    <w:rsid w:val="004A3783"/>
    <w:rsid w:val="004A4265"/>
    <w:rsid w:val="004B3EE9"/>
    <w:rsid w:val="004D4C73"/>
    <w:rsid w:val="004D59C9"/>
    <w:rsid w:val="005263D6"/>
    <w:rsid w:val="00544D65"/>
    <w:rsid w:val="00555CB3"/>
    <w:rsid w:val="0056386F"/>
    <w:rsid w:val="005650B3"/>
    <w:rsid w:val="0059592C"/>
    <w:rsid w:val="005B021D"/>
    <w:rsid w:val="005C334A"/>
    <w:rsid w:val="005E1621"/>
    <w:rsid w:val="005E247D"/>
    <w:rsid w:val="005E5109"/>
    <w:rsid w:val="005E54AB"/>
    <w:rsid w:val="005F3C8B"/>
    <w:rsid w:val="005F517A"/>
    <w:rsid w:val="00631209"/>
    <w:rsid w:val="0063510F"/>
    <w:rsid w:val="00647787"/>
    <w:rsid w:val="0066712C"/>
    <w:rsid w:val="0068075F"/>
    <w:rsid w:val="00691AE5"/>
    <w:rsid w:val="00693D55"/>
    <w:rsid w:val="00695970"/>
    <w:rsid w:val="006A2692"/>
    <w:rsid w:val="006C5A23"/>
    <w:rsid w:val="006C5ECC"/>
    <w:rsid w:val="006E6629"/>
    <w:rsid w:val="006F779C"/>
    <w:rsid w:val="007024CE"/>
    <w:rsid w:val="00733C4B"/>
    <w:rsid w:val="007413CC"/>
    <w:rsid w:val="00751757"/>
    <w:rsid w:val="0075203D"/>
    <w:rsid w:val="007525B2"/>
    <w:rsid w:val="007612E8"/>
    <w:rsid w:val="00771481"/>
    <w:rsid w:val="007833A7"/>
    <w:rsid w:val="0079683E"/>
    <w:rsid w:val="007A2EF3"/>
    <w:rsid w:val="007D0F84"/>
    <w:rsid w:val="007D4EB7"/>
    <w:rsid w:val="007E1041"/>
    <w:rsid w:val="00801F62"/>
    <w:rsid w:val="0081229E"/>
    <w:rsid w:val="0085353B"/>
    <w:rsid w:val="00855982"/>
    <w:rsid w:val="00871585"/>
    <w:rsid w:val="008C2749"/>
    <w:rsid w:val="008F111F"/>
    <w:rsid w:val="009058C0"/>
    <w:rsid w:val="00913DC9"/>
    <w:rsid w:val="009153FE"/>
    <w:rsid w:val="00924F44"/>
    <w:rsid w:val="00926D7F"/>
    <w:rsid w:val="00956E03"/>
    <w:rsid w:val="0096529B"/>
    <w:rsid w:val="00965E8F"/>
    <w:rsid w:val="0097334B"/>
    <w:rsid w:val="009806DD"/>
    <w:rsid w:val="009961B1"/>
    <w:rsid w:val="00997098"/>
    <w:rsid w:val="009B0B95"/>
    <w:rsid w:val="009B49A4"/>
    <w:rsid w:val="009B6CEB"/>
    <w:rsid w:val="009C21E2"/>
    <w:rsid w:val="00A10484"/>
    <w:rsid w:val="00A74C4A"/>
    <w:rsid w:val="00A76434"/>
    <w:rsid w:val="00AB27A3"/>
    <w:rsid w:val="00AB5E9E"/>
    <w:rsid w:val="00AE1432"/>
    <w:rsid w:val="00AE5939"/>
    <w:rsid w:val="00AF1260"/>
    <w:rsid w:val="00AF4484"/>
    <w:rsid w:val="00B269AD"/>
    <w:rsid w:val="00B369FC"/>
    <w:rsid w:val="00B8356A"/>
    <w:rsid w:val="00BA2ED1"/>
    <w:rsid w:val="00BA4DBE"/>
    <w:rsid w:val="00BA580E"/>
    <w:rsid w:val="00BB5186"/>
    <w:rsid w:val="00BB59F2"/>
    <w:rsid w:val="00BC1458"/>
    <w:rsid w:val="00BC34C9"/>
    <w:rsid w:val="00BF12F9"/>
    <w:rsid w:val="00BF2DBD"/>
    <w:rsid w:val="00BF5146"/>
    <w:rsid w:val="00C031FD"/>
    <w:rsid w:val="00C06528"/>
    <w:rsid w:val="00C45555"/>
    <w:rsid w:val="00C61ADA"/>
    <w:rsid w:val="00C75B31"/>
    <w:rsid w:val="00CA2DCD"/>
    <w:rsid w:val="00CB6705"/>
    <w:rsid w:val="00CC0159"/>
    <w:rsid w:val="00CD0D04"/>
    <w:rsid w:val="00CD3BC8"/>
    <w:rsid w:val="00CF27D9"/>
    <w:rsid w:val="00D01ACF"/>
    <w:rsid w:val="00D0229E"/>
    <w:rsid w:val="00D14693"/>
    <w:rsid w:val="00D33F89"/>
    <w:rsid w:val="00D4730C"/>
    <w:rsid w:val="00D607F5"/>
    <w:rsid w:val="00D62149"/>
    <w:rsid w:val="00D62450"/>
    <w:rsid w:val="00D80D24"/>
    <w:rsid w:val="00D92148"/>
    <w:rsid w:val="00D975F3"/>
    <w:rsid w:val="00DA1201"/>
    <w:rsid w:val="00DB735B"/>
    <w:rsid w:val="00DE056B"/>
    <w:rsid w:val="00DE1BCB"/>
    <w:rsid w:val="00DE51D4"/>
    <w:rsid w:val="00E01497"/>
    <w:rsid w:val="00E02BCD"/>
    <w:rsid w:val="00E2289C"/>
    <w:rsid w:val="00E24E71"/>
    <w:rsid w:val="00E27C07"/>
    <w:rsid w:val="00E3002C"/>
    <w:rsid w:val="00E41711"/>
    <w:rsid w:val="00E60983"/>
    <w:rsid w:val="00E64C97"/>
    <w:rsid w:val="00E90B9F"/>
    <w:rsid w:val="00E94316"/>
    <w:rsid w:val="00EA0335"/>
    <w:rsid w:val="00EB04F3"/>
    <w:rsid w:val="00EB0AD2"/>
    <w:rsid w:val="00EC3538"/>
    <w:rsid w:val="00EE5611"/>
    <w:rsid w:val="00EF79E0"/>
    <w:rsid w:val="00F0477A"/>
    <w:rsid w:val="00F13F37"/>
    <w:rsid w:val="00F312A9"/>
    <w:rsid w:val="00F44ED0"/>
    <w:rsid w:val="00F605A2"/>
    <w:rsid w:val="00F63E78"/>
    <w:rsid w:val="00F64405"/>
    <w:rsid w:val="00F732B1"/>
    <w:rsid w:val="00F810EF"/>
    <w:rsid w:val="00F8201E"/>
    <w:rsid w:val="00F937B2"/>
    <w:rsid w:val="00F9438C"/>
    <w:rsid w:val="00F97168"/>
    <w:rsid w:val="00FA4326"/>
    <w:rsid w:val="00FB0F6B"/>
    <w:rsid w:val="00FC0FFA"/>
    <w:rsid w:val="00FC17DF"/>
    <w:rsid w:val="00FC36D8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91FFB"/>
  <w15:chartTrackingRefBased/>
  <w15:docId w15:val="{BCA033B5-B60D-4A03-B022-CB9B10C4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va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486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 Valades</dc:creator>
  <cp:lastModifiedBy>Richard Valades</cp:lastModifiedBy>
  <cp:revision>163</cp:revision>
  <dcterms:created xsi:type="dcterms:W3CDTF">2022-06-01T20:13:00Z</dcterms:created>
  <dcterms:modified xsi:type="dcterms:W3CDTF">2022-06-02T04:18:00Z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