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before="0" w:after="100"/>
        <w:jc w:val="left"/>
      </w:pPr>
      <w:r>
        <w:rPr>
          <w:rFonts w:ascii="Times New Roman" w:hAnsi="Times New Roman"/>
          <w:b/>
          <w:color w:val="000000"/>
          <w:sz w:val="22"/>
        </w:rPr>
        <w:t>Highlights</w:t>
      </w:r>
    </w:p>
    <w:p>
      <w:pPr>
        <w:pStyle w:val="ListBullet"/>
        <w:numPr>
          <w:ilvl w:val="0"/>
          <w:numId w:val="10"/>
        </w:numPr>
        <w:spacing w:before="0" w:after="100"/>
        <w:ind w:left="360" w:hanging="180"/>
        <w:jc w:val="left"/>
      </w:pPr>
      <w:r>
        <w:rPr>
          <w:rFonts w:ascii="Times New Roman" w:hAnsi="Times New Roman"/>
          <w:sz w:val="24"/>
        </w:rPr>
        <w:t>Waveform fingerprints link 2,234 retained records to 1,477 earthquake sources.</w:t>
      </w:r>
    </w:p>
    <w:p>
      <w:pPr>
        <w:pStyle w:val="ListBullet"/>
        <w:numPr>
          <w:ilvl w:val="0"/>
          <w:numId w:val="10"/>
        </w:numPr>
        <w:spacing w:before="0" w:after="100"/>
        <w:ind w:left="360" w:hanging="180"/>
        <w:jc w:val="left"/>
      </w:pPr>
      <w:r>
        <w:rPr>
          <w:rFonts w:ascii="Times New Roman" w:hAnsi="Times New Roman"/>
          <w:sz w:val="24"/>
        </w:rPr>
        <w:t>Executable contracts check source membership, feature order and artifact identity.</w:t>
      </w:r>
    </w:p>
    <w:p>
      <w:pPr>
        <w:pStyle w:val="ListBullet"/>
        <w:numPr>
          <w:ilvl w:val="0"/>
          <w:numId w:val="10"/>
        </w:numPr>
        <w:spacing w:before="0" w:after="100"/>
        <w:ind w:left="360" w:hanging="180"/>
        <w:jc w:val="left"/>
      </w:pPr>
      <w:r>
        <w:rPr>
          <w:rFonts w:ascii="Times New Roman" w:hAnsi="Times New Roman"/>
          <w:sz w:val="24"/>
        </w:rPr>
        <w:t>HDF5 reconstruction reproduces all 2,234 retained CSV byte hashes.</w:t>
      </w:r>
    </w:p>
    <w:p>
      <w:pPr>
        <w:pStyle w:val="ListBullet"/>
        <w:numPr>
          <w:ilvl w:val="0"/>
          <w:numId w:val="10"/>
        </w:numPr>
        <w:spacing w:before="0" w:after="100"/>
        <w:ind w:left="360" w:hanging="180"/>
        <w:jc w:val="left"/>
      </w:pPr>
      <w:r>
        <w:rPr>
          <w:rFonts w:ascii="Times New Roman" w:hAnsi="Times New Roman"/>
          <w:sz w:val="24"/>
        </w:rPr>
        <w:t>Fresh inference replay covers 106 checkpoints and 70 test prediction sets.</w:t>
      </w:r>
    </w:p>
    <w:p>
      <w:pPr>
        <w:pStyle w:val="ListBullet"/>
        <w:numPr>
          <w:ilvl w:val="0"/>
          <w:numId w:val="10"/>
        </w:numPr>
        <w:spacing w:before="0" w:after="100"/>
        <w:ind w:left="360" w:hanging="180"/>
        <w:jc w:val="left"/>
      </w:pPr>
      <w:r>
        <w:rPr>
          <w:rFonts w:ascii="Times New Roman" w:hAnsi="Times New Roman"/>
          <w:sz w:val="24"/>
        </w:rPr>
        <w:t>Historical development exposure prevents independent predictive confirmation.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imes New Roman" w:hAnsi="Times New Roman"/>
        <w:b/>
        <w:sz w:val="18"/>
      </w:rPr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bullet"/>
      <w:lvlText w:val="•"/>
      <w:lvlJc w:val="left"/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