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/>
        <w:jc w:val="left"/>
      </w:pPr>
      <w:r>
        <w:rPr>
          <w:rFonts w:ascii="Times New Roman" w:hAnsi="Times New Roman"/>
          <w:b/>
          <w:color w:val="000000"/>
          <w:sz w:val="22"/>
        </w:rPr>
        <w:t>Highlights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Source grouping preserves disjoint sources across partitions and OOF folds.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Three base seeds are crossed with three meta seeds on one fixed split.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Full3C stacking S F1 exceeds Z-only by 0.2396 at 100 ms.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A PhaseNet-style baseline exceeds stacking mean F1 in both input modes.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The evidence supports component access, not a stacking performance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