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Auditing Earthquake Source Separation and Data History in Seismic Machine Learning</w:t>
      </w:r>
    </w:p>
    <w:p>
      <w:r>
        <w:t>Rahmat Catur Wibowo¹*, Razki Alfatah Khairu Mahli², Karyanto³, Hendra Amijaya⁴, Aristoteles⁵, Maman Hermana⁶, Muh Sarkowi⁷</w:t>
      </w:r>
    </w:p>
    <w:p>
      <w:r>
        <w:t xml:space="preserve">¹ Geological Engineering Department, Engineering Faculty, Universitas Lampung, Jl. Prof. Dr. Soemantri Brojonegoro No. 1, Bandar Lampung 35145, Indonesia; ORCID: 0000-0003-2754-1803 </w:t>
      </w:r>
    </w:p>
    <w:p>
      <w:r>
        <w:t>² Geophysics Engineering Department, Engineering Faculty, Universitas Lampung, Jl. Prof. Dr. Soemantri Brojonegoro No. 1, Bandar Lampung 35145, Indonesia; ORCID: 0009-0008-9676-7842</w:t>
      </w:r>
    </w:p>
    <w:p>
      <w:r>
        <w:t>³ Geophysics Engineering Department, Engineering Faculty, Universitas Lampung, Jl. Prof. Dr. Soemantri Brojonegoro No. 1, Bandar Lampung 35145, Indonesia; ORCID: 0000-0003-0189-4109</w:t>
      </w:r>
    </w:p>
    <w:p>
      <w:r>
        <w:t>⁴ Geological Engineering Department, Engineering Faculty, Universitas Gadjah Mada, Jl. Grafika No. 2, Yogyakarta 55284, Indonesia; ORCID: 0000-0002-9602-2903</w:t>
      </w:r>
    </w:p>
    <w:p>
      <w:r>
        <w:t>⁵ Computer Science Department, Mathematics and Natural Science Faculty, Universitas Lampung, Jl. Prof. Dr. Soemantri Brojonegoro No. 1, Bandar Lampung 35145, Indonesia; ORCID: 0000-0002-9369-4528</w:t>
      </w:r>
    </w:p>
    <w:p>
      <w:r>
        <w:t>⁶ Geosciences Department, Universiti Teknologi Petronas, Bandar Seri Iskandar, 32610 Perak, Malaysia; ORCID: 0000-0002-0205-4446</w:t>
      </w:r>
    </w:p>
    <w:p>
      <w:r>
        <w:t>⁷ Geophysics Engineering Department, Engineering Faculty, Universitas Lampung, Jl. Prof. Dr. Soemantri Brojonegoro No. 1, Bandar Lampung 35145, Indonesia; ORCID: 0000-0001-8554-3407</w:t>
      </w:r>
    </w:p>
    <w:p>
      <w:r>
        <w:t>*Corresponding author: rahmat.caturwibowo@eng.unila.ac.id</w:t>
      </w:r>
    </w:p>
    <w:p>
      <w:pPr>
        <w:pStyle w:val="Heading1"/>
      </w:pPr>
      <w:r>
        <w:t>Abstract</w:t>
      </w:r>
    </w:p>
    <w:p>
      <w:r>
        <w:t>An earthquake can contribute recordings from several stations. Separating files therefore does not necessarily separate sources, and repairing a split does not erase earlier use. We present a Python tool for auditing source membership, processing relationships and artifact identity. Applied to recovered identities in a historical STEAD partition, the tool identifies 151 of 335 test records sharing sources with training. The corrected split has zero overlap, but 196 of its 221 test sources have documented prior training or validation roles. Thirty configuration–fold checks pass across six saved out-of-fold membership tables, and hashes match for 106 checkpoints and 93 public code files. A metadata demonstration uses 36,743 ETHZ records from 2,231 sources. The supplied SeisBench partition is source-disjoint, whereas a deliberately constructed record-random control has 2,028 sources spanning subsets. The supplied partition also shares 180 network–station keys between training and testing, distinguishing source exclusion from station exclusion. Twenty-seven automated tests cover valid inputs, injected failures and incomplete identifiers. These checks demonstrate reusable auditing without model training; they do not verify physical event associations or estimate how leakage changes accuracy. Historical development exposure prevents an independent-confirmation claim. The practical output is an executable checklist with explicit evidence boundaries.</w:t>
      </w:r>
    </w:p>
    <w:p>
      <w:r>
        <w:t>Keywords: seismic machine learning; earthquake source identity; data leakage; reproducibility; metadata audit</w:t>
      </w:r>
    </w:p>
    <w:p>
      <w:pPr>
        <w:pStyle w:val="Heading1"/>
      </w:pPr>
      <w:r>
        <w:t>1 Introduction</w:t>
      </w:r>
    </w:p>
    <w:p>
      <w:r>
        <w:t>Suppose one earthquake is recorded at three stations. A random division of those three files can place two recordings in training and the third in testing. Their filenames and waveforms differ, yet they describe the same source. If the intended question is performance on earthquakes outside training, a file-level split does not enforce that question. A second problem arises when a corrected test set contains earthquakes already used during earlier model development. The corrected run can be internally consistent while its test population remains historically familiar. Figure 1 illustrates why the unit of allocation matters.</w:t>
      </w:r>
    </w:p>
    <w:p>
      <w:pPr>
        <w:keepNext/>
      </w:pPr>
      <w:r>
        <w:drawing>
          <wp:inline xmlns:a="http://schemas.openxmlformats.org/drawingml/2006/main" xmlns:pic="http://schemas.openxmlformats.org/drawingml/2006/picture">
            <wp:extent cx="5852160" cy="2665983"/>
            <wp:docPr id="1" name="Picture 1"/>
            <wp:cNvGraphicFramePr>
              <a:graphicFrameLocks noChangeAspect="1"/>
            </wp:cNvGraphicFramePr>
            <a:graphic>
              <a:graphicData uri="http://schemas.openxmlformats.org/drawingml/2006/picture">
                <pic:pic>
                  <pic:nvPicPr>
                    <pic:cNvPr id="0" name="Figure1_source_separation.png"/>
                    <pic:cNvPicPr/>
                  </pic:nvPicPr>
                  <pic:blipFill>
                    <a:blip r:embed="rId10"/>
                    <a:stretch>
                      <a:fillRect/>
                    </a:stretch>
                  </pic:blipFill>
                  <pic:spPr>
                    <a:xfrm>
                      <a:off x="0" y="0"/>
                      <a:ext cx="5852160" cy="2665983"/>
                    </a:xfrm>
                    <a:prstGeom prst="rect"/>
                  </pic:spPr>
                </pic:pic>
              </a:graphicData>
            </a:graphic>
          </wp:inline>
        </w:drawing>
      </w:r>
    </w:p>
    <w:p>
      <w:pPr>
        <w:pStyle w:val="Caption"/>
      </w:pPr>
      <w:r>
        <w:t>Fig. 1. A single earthquake recorded at several stations can cross subsets when records are allocated separately (A). Assigning the source as one unit keeps those records together (B). This conceptual example concerns source exclusion; it does not imply station, regional or historical independence.</w:t>
      </w:r>
    </w:p>
    <w:p>
      <w:r>
        <w:t>Such problems matter in seismic machine learning because datasets contain repeated observations of events, transformed copies of waveforms and multiple stages of model selection. STEAD provides a large collection of labeled seismic signals (Mousavi et al. 2019), while SeisBench makes several datasets and models accessible through a common interface (Woollam et al. 2022). Picker comparisons also depend on the evaluation population and setting (Münchmeyer et al. 2022). A useful audit should therefore state which relationship it checks before a performance number is interpreted.</w:t>
      </w:r>
    </w:p>
    <w:p>
      <w:r>
        <w:t>Grouping dependent observations is an established principle of evaluation design (Roberts et al. 2017). Selection bias and leakage can occur even when individual fitting operations are implemented correctly (Cawley and Talbot 2010; Kapoor and Narayanan 2023). Identification and provenance standards likewise emphasize preserving the relationship between an observation and its processing history (Duerr et al. 2011; Moreau and Missier 2013). These principles motivate explicit input contracts, rather than a new grouping or hashing algorithm.</w:t>
      </w:r>
    </w:p>
    <w:p>
      <w:r>
        <w:t>We ask whether a compact, model-independent interface can make common source-membership and processing-history failures visible before seismic predictions are interpreted. We connect a forensic example from an existing STEAD workflow to a reusable Python implementation and a metadata demonstration on ETHZ. The new demonstration requires neither MATLAB nor a trained picker. Its purpose is to test the portability of the membership audit, with a clear distinction between a supplied partition and controls constructed for this study. Model architecture and accuracy ranking are outside the primary question.</w:t>
      </w:r>
    </w:p>
    <w:p>
      <w:pPr>
        <w:pStyle w:val="Heading1"/>
      </w:pPr>
      <w:r>
        <w:t>2 Audit workflow</w:t>
      </w:r>
    </w:p>
    <w:p>
      <w:pPr>
        <w:pStyle w:val="Heading1"/>
      </w:pPr>
      <w:r>
        <w:t>2.1 Identify records and state the evaluation unit</w:t>
      </w:r>
    </w:p>
    <w:p>
      <w:r>
        <w:t>The minimum table contains a unique record_id, a source_id and a split label for each observation. All identifiers are strings. The tool preserves leading zeros and rejects missing, null-like or whitespace-padded identifiers and repeated record identifiers. It does not infer that two events are identical from similar times, locations or names. When a source identifier is unavailable or contradictory, the user must resolve the underlying catalogue relationship before claiming source separation.</w:t>
      </w:r>
    </w:p>
    <w:p>
      <w:r>
        <w:t>For a declared source-disjoint evaluation, the check constructs the set of split labels attached to each source. A source appearing in more than one set is a violation. Reports contain the number of such sources, the affected records and pairwise intersections. A source present in three subsets is counted once in the overall shared-source count. This avoids adding pairwise counts that overlap. A one-subset file returns a warning, because it cannot demonstrate separation between subsets.</w:t>
      </w:r>
    </w:p>
    <w:p>
      <w:r>
        <w:t>The check is conditional on the supplied identifiers. Correctly grouping incorrect labels can pass. In the STEAD case, waveform identity recovery supplies an additional link between local exported records and original catalogue identifiers. The generic Python tool does not perform that waveform recovery; it consumes the resulting membership table. This distinction is necessary when applying the tool to another dataset.</w:t>
      </w:r>
    </w:p>
    <w:p>
      <w:pPr>
        <w:pStyle w:val="Heading1"/>
      </w:pPr>
      <w:r>
        <w:t>2.2 Preserve processing relationships</w:t>
      </w:r>
    </w:p>
    <w:p>
      <w:r>
        <w:t>A derived record, such as an augmented waveform, must retain its parent source and partition. The lineage check rejects a missing parent, reuse of a parent record identifier as a child identifier, and changes in source or split. For a multistage model, an out-of-fold prediction is a prediction for a record excluded from the fitting operation that generated it. The corresponding source must also be excluded from that operation, including its inner validation set. The OOF check tests pairwise source intersections between held-out, fitting and inner-validation records.</w:t>
      </w:r>
    </w:p>
    <w:p>
      <w:r>
        <w:t>Later checks address different failure modes. An ordered feature-schema comparison detects channel swaps even when tensor dimensions are unchanged. An artifact check compares file bytes against a declared SHA-256 manifest and rejects paths outside the specified artifact directory. Matching hashes demonstrate identity with the reference bytes; they do not establish that those bytes are scientifically correct. Table 1 translates each check into a practical action.</w:t>
      </w:r>
    </w:p>
    <w:p>
      <w:pPr>
        <w:pStyle w:val="Caption"/>
        <w:keepNext/>
      </w:pPr>
      <w:r>
        <w:t>Table 1 Checks and actions before interpreting results</w:t>
      </w:r>
    </w:p>
    <w:tbl>
      <w:tblPr>
        <w:tblW w:type="auto" w:w="0"/>
        <w:tblLayout w:type="fixed"/>
        <w:tblLook w:firstColumn="1" w:firstRow="1" w:lastColumn="0" w:lastRow="0" w:noHBand="0" w:noVBand="1" w:val="04A0"/>
      </w:tblPr>
      <w:tblGrid>
        <w:gridCol w:w="1728"/>
        <w:gridCol w:w="3096"/>
        <w:gridCol w:w="4464"/>
      </w:tblGrid>
      <w:tr>
        <w:trPr>
          <w:tblHeader/>
          <w:cantSplit/>
        </w:trP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Check</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Required evidence</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Action when it fails</w:t>
            </w:r>
          </w:p>
        </w:tc>
      </w:tr>
      <w:tr>
        <w:trPr>
          <w:cantSplit/>
        </w:trP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Source separation</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Record, source and split table</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Resolve identity or revise the partition</w:t>
            </w:r>
          </w:p>
        </w:tc>
      </w:tr>
      <w:tr>
        <w:trPr>
          <w:cantSplit/>
        </w:trP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Derived-record lineage</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Parent and child memberships</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Restore the parent source and split</w:t>
            </w:r>
          </w:p>
        </w:tc>
      </w:tr>
      <w:tr>
        <w:trPr>
          <w:cantSplit/>
        </w:trP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OOF exclusion</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Held, fit and inner-validation memberships</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Regenerate affected derived predictions</w:t>
            </w:r>
          </w:p>
        </w:tc>
      </w:tr>
      <w:tr>
        <w:trPr>
          <w:cantSplit/>
        </w:trP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Feature order</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Actual and expected channel lists</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Restore the declared ordering</w:t>
            </w:r>
          </w:p>
        </w:tc>
      </w:tr>
      <w:tr>
        <w:trPr>
          <w:cantSplit/>
        </w:trP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Artifact identity</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Files and a frozen SHA-256 manifest</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Find the changed or missing artifact</w:t>
            </w:r>
          </w:p>
        </w:tc>
      </w:tr>
      <w:tr>
        <w:trPr>
          <w:cantSplit/>
        </w:trPr>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Historical roles</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Earlier uses of present test sources</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Limit independent-confirmation claims</w:t>
            </w:r>
          </w:p>
        </w:tc>
      </w:tr>
    </w:tbl>
    <w:p>
      <w:pPr>
        <w:pStyle w:val="Heading1"/>
      </w:pPr>
      <w:r>
        <w:t>2.3 Report the scope of a successful check</w:t>
      </w:r>
    </w:p>
    <w:p>
      <w:r>
        <w:t>The software separates PASS, FAIL and WARNING. PASS means the specified condition holds for the supplied inputs. FAIL identifies a violated condition. WARNING records incomplete evidence, such as unavailable historical roles. Invalid input raises an explicit error rather than a successful empty result. The split command writes JSON, a record-level violation CSV and a short Markdown report. Additional checks are available through the Python API. A successful split command does not imply that the other checks ran. With --strict, a warning also returns a nonzero exit status for automated checks.</w:t>
      </w:r>
    </w:p>
    <w:p>
      <w:r>
        <w:t>The following command and report excerpt use the recovered historical STEAD memberships supplied with the tool. FAIL is the expected result for this historical partition, not a software error.</w:t>
      </w:r>
    </w:p>
    <w:p>
      <w:pPr>
        <w:keepLines/>
      </w:pPr>
      <w:r>
        <w:rPr>
          <w:rFonts w:ascii="Courier New" w:hAnsi="Courier New"/>
          <w:sz w:val="17"/>
        </w:rPr>
        <w:t>python -m seismic_eval_audit examples/historical_stead.csv --output NEW_REPORT</w:t>
        <w:br/>
        <w:t>Status: FAIL</w:t>
        <w:br/>
        <w:t>- records: 2234</w:t>
        <w:br/>
        <w:t>- sources: 1477</w:t>
        <w:br/>
        <w:t>- shared_sources: 283</w:t>
        <w:br/>
        <w:t>- affected_records: 739</w:t>
      </w:r>
    </w:p>
    <w:p>
      <w:r>
        <w:t>The report identifies the shared groups; violations.csv lists their records. Recover the source mapping or revise the partition before interpreting a source-disjoint test claim. Pairwise counts distinguish training overlap from overlap with any subset.</w:t>
      </w:r>
    </w:p>
    <w:p>
      <w:r>
        <w:t>Historical roles require particular care. The history helper reports documented earlier roles for current test sources and flags unknown history. It does not infer that absence from a log means absence from development. For the forensic study, earlier fitting, validation and test memberships are examined separately. A current source-disjoint split establishes an exclusion within that run; independent predictive confirmation additionally requires data kept outside earlier development and selection decisions.</w:t>
      </w:r>
    </w:p>
    <w:p>
      <w:pPr>
        <w:pStyle w:val="Heading1"/>
      </w:pPr>
      <w:r>
        <w:t>3 Evaluation design</w:t>
      </w:r>
    </w:p>
    <w:p>
      <w:pPr>
        <w:pStyle w:val="Heading1"/>
      </w:pPr>
      <w:r>
        <w:t>3.1 Existing STEAD case</w:t>
      </w:r>
    </w:p>
    <w:p>
      <w:r>
        <w:t>The STEAD case uses an existing local collection of 2,234 exported waveform records. Earlier ordinal filenames did not provide a reliable connection to the catalogue. A previously completed exact fingerprint audit compared the retained numerical waveforms against 1,265,657 waveforms in the tested local HDF5 archive. Every retained waveform had one matching archive entry, yielding 1,477 recovered source identifiers. Matching used the documented float32 waveform representation and component order; it did not search for approximate or transformed duplicates.</w:t>
      </w:r>
    </w:p>
    <w:p>
      <w:r>
        <w:t>We read the frozen recovered_mapping_2234.csv and partition_membership.csv tables, join them by event_id, verify source agreement, and audit the historical and corrected memberships separately. Historical source-role sets are derived from the recovered historical table and cross-checked against the previously recorded source_role_memberships.csv. The corrected train, validation and test sets contain 1,544, 360 and 330 records from 1,034, 222 and 221 sources. This existing phase-picking pipeline supplies the multistage case; it was not originally designed as an intentional stress test.</w:t>
      </w:r>
    </w:p>
    <w:p>
      <w:r>
        <w:t>We additionally audit six saved OOF membership files representing two component modes and three base seeds. Each uses five folds. The actual inner-fold tables specify held, fitting and inner-validation roles. We check record coverage and source agreement before checking the three source sets for each configuration and fold. Model bytes are compared with the frozen model manifest; public code copies are compared with their existing public_sha256 entries.</w:t>
      </w:r>
    </w:p>
    <w:p>
      <w:r>
        <w:t>For lineage, the original training-time augmentation manifest is unavailable. We construct unique child audit keys from the group, event identifier and augmentation flag in existing OOF replay receipts. Their parent memberships come from the frozen training partition. The resulting check verifies the recorded source and fold links for 9,264 augmented receipt entries. The assigned training label follows the receipt context; this is reconstructed lineage evidence, not an independent observation of child waveform bytes or execution-time partition labels.</w:t>
      </w:r>
    </w:p>
    <w:p>
      <w:pPr>
        <w:pStyle w:val="Heading1"/>
      </w:pPr>
      <w:r>
        <w:t>3.2 Metadata demonstration on ETHZ</w:t>
      </w:r>
    </w:p>
    <w:p>
      <w:r>
        <w:t>We downloaded the ETHZ metadata CSV from the official SeisBench data distribution on 27 October 2026 and recorded its SHA-256. The table contains 36,743 records with 2,231 distinct supplied source identifiers. The adapter maps trace_name to record_id and retains source_id and split. No waveform files or trained models are needed for this demonstration. We assess exact equality of these supplied identifiers; we do not independently verify their physical event associations. The dev label denotes the development subset; split labels are retained exactly. The underlying networks are credited in Online Resource 1 (Swiss Seismological Service at ETH Zurich 1983, 2005, 2008; CERN 2016; AlpArray Seismic Network 2014).</w:t>
      </w:r>
    </w:p>
    <w:p>
      <w:r>
        <w:t>Three partitions are audited. First, the supplied SeisBench split is used unchanged. Second, a record-random split is deliberately constructed as a negative control. Third, a grouped split assigns each source entirely to one subset. For both constructed partitions, sorted unique allocation units are shuffled with Python random.Random(42); the first floor(0.70 N) units enter training, the next floor(0.15 N) enter development, and the remainder enter testing. The allocation unit is a record in the negative control and a source in the grouped condition. Resulting record proportions need not match for grouped allocation. Membership files make the exact assignments inspectable.</w:t>
      </w:r>
    </w:p>
    <w:p>
      <w:r>
        <w:t>The supplied split is the reference condition, not a target for repair. The constructed splits illustrate the consequences of changing the allocation unit. They change which records are tested and are not a controlled experiment estimating a change in model accuracy. We use one seed because the objective is a reproducible functional demonstration, not an estimate of the distribution of overlap under random splitting.</w:t>
      </w:r>
    </w:p>
    <w:p>
      <w:r>
        <w:t>To illustrate a different evaluation unit, we also audit the supplied ETHZ split using station_network_code joined to station_code. This network.station key prevents conflating station names from different networks, but does not resolve changes in deployment epoch or location code. An overlap is interpreted against an explicitly declared unseen-station requirement, not as a defect in the supplied source-disjoint partition.</w:t>
      </w:r>
    </w:p>
    <w:p>
      <w:pPr>
        <w:pStyle w:val="Heading1"/>
      </w:pPr>
      <w:r>
        <w:t>3.3 Verification of the implementation</w:t>
      </w:r>
    </w:p>
    <w:p>
      <w:r>
        <w:t>Twenty-seven automated tests cover valid cases, intentionally introduced source overlap, inconsistent augmentation lineage, OOF contamination, feature-order changes and modified artifact bytes. Further tests cover missing or ambiguous identifiers, leading zeros, empty inputs, output-directory reuse and unsafe artifact paths. These small controlled inputs make each expected failure explicit. They establish tested behavior rather than a probability of detecting arbitrary leakage. The built wheel is installed into a separate directory and its command-line entry is exercised outside the source directory. The ETHZ script is also rerun, and the three deterministic count results are compared with direct set calculations.</w:t>
      </w:r>
    </w:p>
    <w:p>
      <w:pPr>
        <w:pStyle w:val="Heading1"/>
      </w:pPr>
      <w:r>
        <w:t>3.4 Software development and AI assistance</w:t>
      </w:r>
    </w:p>
    <w:p>
      <w:r>
        <w:t>ChatGPT/Codex (OpenAI) assisted software implementation, test drafting, metadata-analysis scripts, document organization and language revision. Claude (Anthropic) assisted earlier manuscript review and editing. Verification includes 27 automated tests, direct set-based cross-checks, comparison with frozen historical-role evidence, and byte-hash checks. These checks are documented separately from AI assistance and do not constitute external validation. The authors are responsible for reviewing the implementation, evidence, references and manuscript and for the final scientific claims.</w:t>
      </w:r>
    </w:p>
    <w:p>
      <w:pPr>
        <w:pStyle w:val="Heading1"/>
      </w:pPr>
      <w:r>
        <w:t>4 Results</w:t>
      </w:r>
    </w:p>
    <w:p>
      <w:pPr>
        <w:pStyle w:val="Heading1"/>
      </w:pPr>
      <w:r>
        <w:t>4.1 A corrected split does not erase earlier use</w:t>
      </w:r>
    </w:p>
    <w:p>
      <w:r>
        <w:t>The tool reports FAIL for the recovered historical STEAD partition: 283 sources span subsets, affecting 739 records overall. Among its 335 test records, 151 share a source with training and 168 with training or validation. These counts are newly reproduced by the Python adapter from the frozen recovered mapping and checked by direct set calculations. The corrected 330-record test partition passes with zero shared sources across train, validation and test (Table 2). Machine-readable reports retain the separate populations and their input hashes.</w:t>
      </w:r>
    </w:p>
    <w:p>
      <w:r>
        <w:t>The history API returns WARNING for the corrected test population. It identifies 196 of 221 sources, covering 304 of 330 records, with documented prior training or validation roles. The remaining 25 sources and 26 records have prior-test-only roles; none have unknown history in the supplied tables. These mutually exclusive counts are tool outputs, cross-checked against the earlier role evidence. Prior-test-only does not establish absence from all development decisions. No performance difference between historical and corrected runs is attributed causally to leakage.</w:t>
      </w:r>
    </w:p>
    <w:p>
      <w:pPr>
        <w:pStyle w:val="Caption"/>
        <w:keepNext/>
      </w:pPr>
      <w:r>
        <w:t>Table 2 New tool outputs from frozen STEAD evidence</w:t>
      </w:r>
    </w:p>
    <w:tbl>
      <w:tblPr>
        <w:tblW w:type="auto" w:w="0"/>
        <w:tblLayout w:type="fixed"/>
        <w:tblLook w:firstColumn="1" w:firstRow="1" w:lastColumn="0" w:lastRow="0" w:noHBand="0" w:noVBand="1" w:val="04A0"/>
      </w:tblPr>
      <w:tblGrid>
        <w:gridCol w:w="3024"/>
        <w:gridCol w:w="1800"/>
        <w:gridCol w:w="4464"/>
      </w:tblGrid>
      <w:tr>
        <w:trPr>
          <w:tblHeade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Check and input</w:t>
            </w:r>
          </w:p>
        </w:tc>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Status</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Key result</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Historical source membership</w:t>
            </w:r>
          </w:p>
        </w:tc>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FAIL</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151/335 test records share training sources; 168/335 share training or validation</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Corrected source membership</w:t>
            </w:r>
          </w:p>
        </w:tc>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PASS</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Zero shared sources</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Current test versus historical roles</w:t>
            </w:r>
          </w:p>
        </w:tc>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WARNING</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196/221 sources and 304/330 records had development roles</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Six OOF membership tables</w:t>
            </w:r>
          </w:p>
        </w:tc>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PASS</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30 configuration–fold checks; five distinct fold assignments</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Lineage adapted from replay receipts</w:t>
            </w:r>
          </w:p>
        </w:tc>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PASS within stated scope</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9,264 augmented entries linked to frozen parents</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Checkpoint and public-code hashes</w:t>
            </w:r>
          </w:p>
        </w:tc>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PASS</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106 checkpoints and 93 code files</w:t>
            </w:r>
          </w:p>
        </w:tc>
      </w:tr>
    </w:tbl>
    <w:p>
      <w:pPr>
        <w:pStyle w:val="Heading1"/>
      </w:pPr>
      <w:r>
        <w:t>4.2 The ETHZ supplied partition passes the membership check</w:t>
      </w:r>
    </w:p>
    <w:p>
      <w:r>
        <w:t>The supplied ETHZ split contains zero shared source identifiers across its three subsets. The constructed record-random control contains 2,028 sources present in more than one subset, affecting 35,980 records. For the training–test pair, 1,728 source identifiers are shared; 5,498 of the 5,512 test records belong to those sources. The grouped construction returns zero shared identifiers. These are exact counts for the downloaded table and specified assignments (Table 3). The supplied partition therefore satisfies source separation for these identifiers.</w:t>
      </w:r>
    </w:p>
    <w:p>
      <w:pPr>
        <w:pStyle w:val="Caption"/>
        <w:keepNext/>
      </w:pPr>
      <w:r>
        <w:t>Table 3 ETHZ records by partition and audit outcome</w:t>
      </w:r>
    </w:p>
    <w:tbl>
      <w:tblPr>
        <w:tblW w:type="auto" w:w="0"/>
        <w:tblLayout w:type="fixed"/>
        <w:tblLook w:firstColumn="1" w:firstRow="1" w:lastColumn="0" w:lastRow="0" w:noHBand="0" w:noVBand="1" w:val="04A0"/>
      </w:tblPr>
      <w:tblGrid>
        <w:gridCol w:w="3168"/>
        <w:gridCol w:w="1368"/>
        <w:gridCol w:w="1368"/>
        <w:gridCol w:w="1368"/>
        <w:gridCol w:w="2016"/>
      </w:tblGrid>
      <w:tr>
        <w:trPr>
          <w:tblHeader/>
          <w:cantSplit/>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Partition</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Train</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Dev</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Test</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Shared sources</w:t>
            </w:r>
          </w:p>
        </w:tc>
      </w:tr>
      <w:tr>
        <w:trPr>
          <w:cantSplit/>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Supplied SeisBench</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22626</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3632</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10485</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0</w:t>
            </w:r>
          </w:p>
        </w:tc>
      </w:tr>
      <w:tr>
        <w:trPr>
          <w:cantSplit/>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Constructed record-random</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25720</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5511</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5512</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2028</w:t>
            </w:r>
          </w:p>
        </w:tc>
      </w:tr>
      <w:tr>
        <w:trPr>
          <w:cantSplit/>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Constructed source-grouped</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25522</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5850</w:t>
            </w:r>
          </w:p>
        </w:tc>
        <w:tc>
          <w:tcPr>
            <w:tcW w:type="dxa" w:w="13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5371</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0</w:t>
            </w:r>
          </w:p>
        </w:tc>
      </w:tr>
    </w:tbl>
    <w:p>
      <w:r>
        <w:t>All rows contain 36,743 records and 2,231 distinct source identifiers. Shared sources means sources occurring in more than one subset, counted once. The two constructed rows use seed 42. The new demonstration verifies that the same membership interface handles another dataset table without using the STEAD-specific model implementation. It does not demonstrate an end-to-end model audit on ETHZ.</w:t>
      </w:r>
    </w:p>
    <w:p>
      <w:r>
        <w:t>The station-key audit gives a different answer for the same supplied split. It contains 238 distinct network.station keys, with 212 in training, 188 in development and 206 in testing. Training and testing share 180 keys, covering 9,637 of 10,485 test records. Overall, 190 keys occur in more than one subset. Thus, this partition supports a source-exclusion claim for the supplied identifiers, but not an unseen-station evaluation claim under this key. No station-generalization performance is estimated.</w:t>
      </w:r>
    </w:p>
    <w:p>
      <w:pPr>
        <w:pStyle w:val="Heading1"/>
      </w:pPr>
      <w:r>
        <w:t>4.3 Reproduction and test outcomes</w:t>
      </w:r>
    </w:p>
    <w:p>
      <w:r>
        <w:t>All 27 automated tests pass, including new role-category and strict-exit tests. The built wheel is checked in a separate installation directory. The historical command returns the expected FAIL, while the corrected memberships pass. All 30 OOF membership checks, 106 checkpoint hashes and 93 public-code hashes pass. Receipt-derived lineage passes for 9,264 augmented entries within its documented scope. The core package uses the Python standard library; the verification environment was Python 3.12.14 on Windows. No new training or inference was performed.</w:t>
      </w:r>
    </w:p>
    <w:p>
      <w:r>
        <w:t>Earlier recorded STEAD verification loaded 106 saved checkpoints, reproduced 18,528 OOF and 1,980 test feature tensors, and recovered 70 test prediction sets; independent calculations reproduced 1,260 metric rows. Those receipts concern the existing computational case and were not regenerated during the metadata demonstration. They show how much of a computation can be repeated while historical independence remains unresolved. Online Resource 1 distinguishes these levels and lists the corresponding evidence.</w:t>
      </w:r>
    </w:p>
    <w:p>
      <w:pPr>
        <w:pStyle w:val="Heading1"/>
      </w:pPr>
      <w:r>
        <w:t>5 Practical use and limitations</w:t>
      </w:r>
    </w:p>
    <w:p>
      <w:r>
        <w:t>A researcher can begin with the dataset metadata, declare the relevant grouping unit and run the split check before fitting. If repeated station observations of an earthquake are meant to remain together, source_id is the appropriate grouping key for that particular question. If deployment requires unseen stations, regions or time periods, source separation alone is insufficient. Additional grouping variables or a different evaluation design are needed. The tool accepts an alternative group column, but it does not choose the scientific target on the user’s behalf.</w:t>
      </w:r>
    </w:p>
    <w:p>
      <w:r>
        <w:t>After augmentation, the parent–child table should be checked. Before generating OOF predictions, the actual source memberships used in fitting and validation should be checked against held-out sources. After feature assembly, channel order should be compared with the declared schema. When exporting a package, file hashes should be recorded and checked again during reproduction. These steps are most useful when connected to the actual pipeline inputs; a manually prepared manifest that does not describe execution can still be misleading.</w:t>
      </w:r>
    </w:p>
    <w:p>
      <w:r>
        <w:t>The STEAD forensic analysis depends on the tested local archive and exact waveform representation. It does not recover unavailable original filtering decisions or prove global uniqueness across every distribution. The ETHZ example verifies metadata portability only. It neither validates the underlying event catalogue nor tests new waveform reconstruction, augmentation or model replay on that dataset. The negative controls illustrate specific errors and are not an exhaustive security or leakage test suite. We do not infer how much source overlap changes predictive accuracy, because that would require a separately designed modeling experiment. The feature-schema API remains tested on controlled examples; no new real-tensor schema audit is claimed. Manifest consistency does not by itself prove execution followed those manifests. The earlier replay receipts provide additional historical execution evidence, and their limitations remain distinct from the new metadata and byte checks.</w:t>
      </w:r>
    </w:p>
    <w:p>
      <w:r>
        <w:t>The contribution is a small executable interface, documented failure cases and a practical separation of evidence levels. Existing grouped-validation and provenance concepts remain the foundation. The case shows why artifact consistency, within-run source exclusion and historical independence should be reported separately. Keeping these claims distinct provides a useful outcome even when an earlier experiment cannot be reinterpreted as an independent benchmark.</w:t>
      </w:r>
    </w:p>
    <w:p>
      <w:pPr>
        <w:pStyle w:val="Heading1"/>
      </w:pPr>
      <w:r>
        <w:t>6 Conclusions</w:t>
      </w:r>
    </w:p>
    <w:p>
      <w:r>
        <w:t>The new tool detects a documented historical source-overlap failure and distinguishes that failure from the corrected STEAD memberships and their earlier development roles. Saved OOF memberships and frozen artifact hashes pass their specified checks. On ETHZ, the supplied partition is source-disjoint but shares 180 network.station keys between training and testing, demonstrating why the evaluation unit must be stated. These findings support explicit audit claims without estimating a change in model accuracy. We recommend running these checks, and reporting historical data roles, before interpreting seismic machine-learning scores.</w:t>
      </w:r>
    </w:p>
    <w:p>
      <w:pPr>
        <w:pStyle w:val="Heading1"/>
      </w:pPr>
      <w:r>
        <w:t>Statements and Declarations</w:t>
      </w:r>
    </w:p>
    <w:p>
      <w:pPr>
        <w:pStyle w:val="Heading1"/>
      </w:pPr>
      <w:r>
        <w:t>Author contributions</w:t>
      </w:r>
    </w:p>
    <w:p>
      <w:r>
        <w:t>Rahmat Catur Wibowo: Conceptualization, Methodology, Software, Validation, Formal analysis, Investigation, Data curation, Writing – original draft, Writing – review &amp; editing, Visualization, Supervision, Project administration. Razki Alfatah Khairu Mahli: Software, Investigation, Validation, Visualization, Writing – review &amp; editing. Karyanto: Software, Data curation, Investigation, Writing – review &amp; editing. Hendra Amijaya: Methodology, Resources, Writing – review &amp; editing. Aristoteles: Formal analysis, Validation, Writing – review &amp; editing. Maman Hermana: Validation, Writing – review &amp; editing. Muh Sarkowi: Conceptualization, Methodology, Supervision, Writing – review &amp; editing.</w:t>
      </w:r>
    </w:p>
    <w:p>
      <w:pPr>
        <w:pStyle w:val="Heading1"/>
      </w:pPr>
      <w:r>
        <w:t>Competing interests</w:t>
      </w:r>
    </w:p>
    <w:p>
      <w:r>
        <w:t>The authors declare no competing financial or non-financial interests relevant to this work.</w:t>
      </w:r>
    </w:p>
    <w:p>
      <w:pPr>
        <w:pStyle w:val="Heading1"/>
      </w:pPr>
      <w:r>
        <w:t>Funding</w:t>
      </w:r>
    </w:p>
    <w:p>
      <w:r>
        <w:t>This research was conducted as part of ongoing academic activities of the authors and did not receive dedicated external funding. The authors received no financial support for the research, authorship, or publication of this article.</w:t>
      </w:r>
    </w:p>
    <w:p>
      <w:pPr>
        <w:pStyle w:val="Heading1"/>
      </w:pPr>
      <w:r>
        <w:t>Code availability</w:t>
      </w:r>
    </w:p>
    <w:p>
      <w:r>
        <w:t>seismic-eval-audit v0.1.1 is distributed under the MIT license at https://github.com/rcw3712/ICNN_MetaPicker_Curated_STEAD_MATLAB/tree/seismic-eval-audit-v0.1.1/audit_tool. The versioned GitHub release provides source, a wheel, tests, case-study reports and SHA-256 manifests. The core requires Python 3.10 or later and no third-party runtime dependencies. It runs without MATLAB, model inference or training. The implementation was tested on Windows with Python 3.12.14; other environments should run the included tests. The separate historical STEAD implementation remains archived at https://doi.org/10.5281/zenodo.22824997 (Wibowo et al. 2026). That DOI does not identify the new Python tool; no new Zenodo DOI is asserted.</w:t>
      </w:r>
    </w:p>
    <w:p>
      <w:pPr>
        <w:pStyle w:val="Heading1"/>
      </w:pPr>
      <w:r>
        <w:t>Data availability</w:t>
      </w:r>
    </w:p>
    <w:p>
      <w:r>
        <w:t>STEAD data are distributed through https://github.com/smousavi05/STEAD. The retained-trace mapping and fingerprints identify the local case-study inputs. ETHZ metadata were obtained from the official SeisBench distribution at https://hifis-storage.desy.de/Helmholtz/HelmholtzAI/SeisBench/datasets/ethz/metadata.csv. The software provides a downloader that checks the tested SHA-256, and the accompanying results include exact partition memberships. Raw waveforms are not redistributed. Dataset terms remain those of their original providers. The ETHZ metadata checksum and retrieval details are recorded in Online Resource 1.</w:t>
      </w:r>
    </w:p>
    <w:p>
      <w:pPr>
        <w:pStyle w:val="Heading1"/>
      </w:pPr>
      <w:r>
        <w:t>Supplementary information</w:t>
      </w:r>
    </w:p>
    <w:p>
      <w:r>
        <w:t>Online Resource 1 provides input contracts, reproduction commands, evidence boundaries and network citations. The accompanying Software and Results directories contain the implementation and machine-readable reports. The versioned repository uses audit_tool for software and case_studies/results for the new evidence. Earlier model-focused material remains available separately in the preserved STEAD case-study archive.</w:t>
      </w:r>
    </w:p>
    <w:p>
      <w:pPr>
        <w:pStyle w:val="Heading1"/>
      </w:pPr>
      <w:r>
        <w:t>References</w:t>
      </w:r>
    </w:p>
    <w:p>
      <w:r>
        <w:t>AlpArray Seismic Network (2014) Eastern Alpine Seismic Investigation (EASI) - AlpArray Complimentary Experiment. AlpArray Working Group. https://doi.org/10.12686/alparray/xt_2014</w:t>
      </w:r>
    </w:p>
    <w:p>
      <w:r>
        <w:t>CERN (2016) CERN Seismic Network. ETH Zurich. https://doi.org/10.12686/sed/networks/c4</w:t>
      </w:r>
    </w:p>
    <w:p>
      <w:r>
        <w:t>Cawley GC, Talbot NLC (2010) On over-fitting in model selection and subsequent selection bias in performance evaluation. Journal of Machine Learning Research 11:2079–2107. https://www.jmlr.org/papers/v11/cawley10a.html</w:t>
      </w:r>
    </w:p>
    <w:p>
      <w:r>
        <w:t>Duerr RE, Downs RR, Tilmes C, Barkstrom B, Lenhardt WC, Glassy J, Bermudez LE, Slaughter P (2011) On the utility of identification schemes for digital earth science data: an assessment and recommendations. Earth Science Informatics 4:139–160. https://doi.org/10.1007/s12145-011-0083-6</w:t>
      </w:r>
    </w:p>
    <w:p>
      <w:r>
        <w:t>Kapoor S, Narayanan A (2023) Leakage and the reproducibility crisis in machine-learning-based science. Patterns 4:100804. https://doi.org/10.1016/j.patter.2023.100804</w:t>
      </w:r>
    </w:p>
    <w:p>
      <w:r>
        <w:t>Moreau L, Missier P (eds) (2013) PROV-DM: The PROV Data Model. W3C Recommendation, 30 April 2013. https://www.w3.org/TR/2013/REC-prov-dm-20130430/</w:t>
      </w:r>
    </w:p>
    <w:p>
      <w:r>
        <w:t>Mousavi SM, Sheng Y, Zhu W, Beroza GC (2019) STanford EArthquake Dataset (STEAD): A global data set of seismic signals for AI. IEEE Access 7:179464–179476. https://doi.org/10.1109/ACCESS.2019.2947848</w:t>
      </w:r>
    </w:p>
    <w:p>
      <w:r>
        <w:t>Münchmeyer J, Woollam J, Rietbrock A, Tilmann F, Lange D, Bornstein T, Diehl T, Giunchi C, Haslinger F, Jozinović D, Michelini A, Saul J, Soto H (2022) Which picker fits my data? A quantitative evaluation of deep learning based seismic pickers. Journal of Geophysical Research: Solid Earth 127:e2021JB023499. https://doi.org/10.1029/2021JB023499</w:t>
      </w:r>
    </w:p>
    <w:p>
      <w:r>
        <w:t>Roberts DR, Bahn V, Ciuti S, Boyce MS, Elith J, Guillera-Arroita G, Hauenstein S, Lahoz-Monfort JJ, Schröder B, Thuiller W, Warton DI, Wintle BA, Hartig F, Dormann CF (2017) Cross-validation strategies for data with temporal, spatial, hierarchical, or phylogenetic structure. Ecography 40:913–929. https://doi.org/10.1111/ecog.02881</w:t>
      </w:r>
    </w:p>
    <w:p>
      <w:r>
        <w:t>Swiss Seismological Service at ETH Zurich (1983) National Seismic Networks of Switzerland. ETH Zürich. https://doi.org/10.12686/sed/networks/ch</w:t>
      </w:r>
    </w:p>
    <w:p>
      <w:r>
        <w:t>Swiss Seismological Service at ETH Zurich (2005) Temporary deployments in Switzerland associated with aftershocks and other seismic sequences. ETH Zurich. https://doi.org/10.12686/sed/networks/8d</w:t>
      </w:r>
    </w:p>
    <w:p>
      <w:r>
        <w:t>Swiss Seismological Service at ETH Zurich (2008) Seismology at School Program, ETH Zurich. ETH Zurich. https://doi.org/10.12686/sed/networks/s</w:t>
      </w:r>
    </w:p>
    <w:p>
      <w:r>
        <w:t>Wibowo RC, Mahli RAK, Karyanto, Amijaya H, Aristoteles, Hermana M, Sarkowi M (2026) Source-Grouped Evaluation of Temporal Stacking for Seismic Phase Picking with Three-Component Data. Version source-verified-v2.0.0. Zenodo. https://doi.org/10.5281/zenodo.22824997</w:t>
      </w:r>
    </w:p>
    <w:p>
      <w:r>
        <w:t>Woollam J, Münchmeyer J, Tilmann F, Rietbrock A, Lange D, Bornstein T, Diehl T, Giunchi C, Haslinger F, Jozinović D, Michelini A, Saul J, Soto H (2022) SeisBench—A toolbox for machine learning in seismology. Seismological Research Letters 93:1695–1709. https://doi.org/10.1785/0220210324</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