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0" w:after="100"/>
        <w:jc w:val="left"/>
      </w:pPr>
      <w:r>
        <w:rPr>
          <w:rFonts w:ascii="Times New Roman" w:hAnsi="Times New Roman"/>
          <w:b/>
          <w:color w:val="000000"/>
          <w:sz w:val="22"/>
        </w:rPr>
        <w:t>Highlights</w:t>
      </w:r>
    </w:p>
    <w:p>
      <w:pPr>
        <w:pStyle w:val="ListBullet"/>
        <w:numPr>
          <w:ilvl w:val="0"/>
          <w:numId w:val="10"/>
        </w:numPr>
        <w:spacing w:before="0" w:after="100"/>
        <w:ind w:left="360" w:hanging="180"/>
        <w:jc w:val="left"/>
      </w:pPr>
      <w:r>
        <w:rPr>
          <w:rFonts w:ascii="Times New Roman" w:hAnsi="Times New Roman"/>
          <w:color w:val="000000"/>
          <w:sz w:val="22"/>
        </w:rPr>
        <w:t>Waveform identities link 2,234 retained records to 1,477 earthquake sources.</w:t>
      </w:r>
    </w:p>
    <w:p>
      <w:pPr>
        <w:pStyle w:val="ListBullet"/>
        <w:numPr>
          <w:ilvl w:val="0"/>
          <w:numId w:val="10"/>
        </w:numPr>
        <w:spacing w:before="0" w:after="100"/>
        <w:ind w:left="360" w:hanging="180"/>
        <w:jc w:val="left"/>
      </w:pPr>
      <w:r>
        <w:rPr>
          <w:rFonts w:ascii="Times New Roman" w:hAnsi="Times New Roman"/>
          <w:color w:val="000000"/>
          <w:sz w:val="22"/>
        </w:rPr>
        <w:t>Source and feature checks expose invalid lineage and altered computational artifacts.</w:t>
      </w:r>
    </w:p>
    <w:p>
      <w:pPr>
        <w:pStyle w:val="ListBullet"/>
        <w:numPr>
          <w:ilvl w:val="0"/>
          <w:numId w:val="10"/>
        </w:numPr>
        <w:spacing w:before="0" w:after="100"/>
        <w:ind w:left="360" w:hanging="180"/>
        <w:jc w:val="left"/>
      </w:pPr>
      <w:r>
        <w:rPr>
          <w:rFonts w:ascii="Times New Roman" w:hAnsi="Times New Roman"/>
          <w:color w:val="000000"/>
          <w:sz w:val="22"/>
        </w:rPr>
        <w:t>Fresh replay reproduces 106 checkpoints’ outputs and 70 test prediction sets.</w:t>
      </w:r>
    </w:p>
    <w:p>
      <w:pPr>
        <w:pStyle w:val="ListBullet"/>
        <w:numPr>
          <w:ilvl w:val="0"/>
          <w:numId w:val="10"/>
        </w:numPr>
        <w:spacing w:before="0" w:after="100"/>
        <w:ind w:left="360" w:hanging="180"/>
        <w:jc w:val="left"/>
      </w:pPr>
      <w:r>
        <w:rPr>
          <w:rFonts w:ascii="Times New Roman" w:hAnsi="Times New Roman"/>
          <w:color w:val="000000"/>
          <w:sz w:val="22"/>
        </w:rPr>
        <w:t>The PhaseNet-style baseline has a P advantage on this fixed split.</w:t>
      </w:r>
    </w:p>
    <w:p>
      <w:pPr>
        <w:pStyle w:val="ListBullet"/>
        <w:numPr>
          <w:ilvl w:val="0"/>
          <w:numId w:val="10"/>
        </w:numPr>
        <w:spacing w:before="0" w:after="100"/>
        <w:ind w:left="360" w:hanging="180"/>
        <w:jc w:val="left"/>
      </w:pPr>
      <w:r>
        <w:rPr>
          <w:rFonts w:ascii="Times New Roman" w:hAnsi="Times New Roman"/>
          <w:color w:val="000000"/>
          <w:sz w:val="22"/>
        </w:rPr>
        <w:t>Historical development exposure limits independent predictive confirmation.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/>
        <w:b/>
        <w:sz w:val="18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