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before="0" w:after="100"/>
        <w:jc w:val="left"/>
      </w:pPr>
      <w:r>
        <w:rPr>
          <w:rFonts w:ascii="Times New Roman" w:hAnsi="Times New Roman"/>
          <w:b/>
          <w:color w:val="000000"/>
          <w:sz w:val="22"/>
        </w:rPr>
        <w:t>Highlights</w:t>
      </w:r>
    </w:p>
    <w:p>
      <w:pPr>
        <w:pStyle w:val="ListBullet"/>
        <w:numPr>
          <w:ilvl w:val="0"/>
          <w:numId w:val="10"/>
        </w:numPr>
        <w:spacing w:before="0" w:after="100"/>
        <w:ind w:left="360" w:hanging="180"/>
        <w:jc w:val="left"/>
      </w:pPr>
      <w:r>
        <w:rPr>
          <w:rFonts w:ascii="Times New Roman" w:hAnsi="Times New Roman"/>
          <w:color w:val="000000"/>
          <w:sz w:val="22"/>
        </w:rPr>
        <w:t>Source grouping preserves disjoint sources across partitions and OOF folds.</w:t>
      </w:r>
    </w:p>
    <w:p>
      <w:pPr>
        <w:pStyle w:val="ListBullet"/>
        <w:numPr>
          <w:ilvl w:val="0"/>
          <w:numId w:val="10"/>
        </w:numPr>
        <w:spacing w:before="0" w:after="100"/>
        <w:ind w:left="360" w:hanging="180"/>
        <w:jc w:val="left"/>
      </w:pPr>
      <w:r>
        <w:rPr>
          <w:rFonts w:ascii="Times New Roman" w:hAnsi="Times New Roman"/>
          <w:color w:val="000000"/>
          <w:sz w:val="22"/>
        </w:rPr>
        <w:t>Three base seeds are crossed with three meta seeds on one fixed split.</w:t>
      </w:r>
    </w:p>
    <w:p>
      <w:pPr>
        <w:pStyle w:val="ListBullet"/>
        <w:numPr>
          <w:ilvl w:val="0"/>
          <w:numId w:val="10"/>
        </w:numPr>
        <w:spacing w:before="0" w:after="100"/>
        <w:ind w:left="360" w:hanging="180"/>
        <w:jc w:val="left"/>
      </w:pPr>
      <w:r>
        <w:rPr>
          <w:rFonts w:ascii="Times New Roman" w:hAnsi="Times New Roman"/>
          <w:color w:val="000000"/>
          <w:sz w:val="22"/>
        </w:rPr>
        <w:t>Full3C stacking S F1 exceeds Z-only by 0.2396 at 100 ms.</w:t>
      </w:r>
    </w:p>
    <w:p>
      <w:pPr>
        <w:pStyle w:val="ListBullet"/>
        <w:numPr>
          <w:ilvl w:val="0"/>
          <w:numId w:val="10"/>
        </w:numPr>
        <w:spacing w:before="0" w:after="100"/>
        <w:ind w:left="360" w:hanging="180"/>
        <w:jc w:val="left"/>
      </w:pPr>
      <w:r>
        <w:rPr>
          <w:rFonts w:ascii="Times New Roman" w:hAnsi="Times New Roman"/>
          <w:color w:val="000000"/>
          <w:sz w:val="22"/>
        </w:rPr>
        <w:t>A PhaseNet-style baseline exceeds stacking mean F1 in both input modes.</w:t>
      </w:r>
    </w:p>
    <w:p>
      <w:pPr>
        <w:pStyle w:val="ListBullet"/>
        <w:numPr>
          <w:ilvl w:val="0"/>
          <w:numId w:val="10"/>
        </w:numPr>
        <w:spacing w:before="0" w:after="100"/>
        <w:ind w:left="360" w:hanging="180"/>
        <w:jc w:val="left"/>
      </w:pPr>
      <w:r>
        <w:rPr>
          <w:rFonts w:ascii="Times New Roman" w:hAnsi="Times New Roman"/>
          <w:color w:val="000000"/>
          <w:sz w:val="22"/>
        </w:rPr>
        <w:t>The evidence supports component access, not a stacking performance advantage.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