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Online Resource 1 Practical Guide and Evidence Boundaries</w:t>
      </w:r>
    </w:p>
    <w:p>
      <w:r>
        <w:t>Companion to Auditing Earthquake Source Separation and Data History in Seismic Machine Learning. This guide separates checks implemented in the Python package from previously recorded STEAD reconstruction and model replay.</w:t>
      </w:r>
    </w:p>
    <w:p>
      <w:pPr>
        <w:pStyle w:val="Heading1"/>
      </w:pPr>
      <w:r>
        <w:rPr>
          <w:color w:val="000000"/>
        </w:rPr>
        <w:t>1 Start with the membership table</w:t>
      </w:r>
    </w:p>
    <w:p>
      <w:r>
        <w:t>The package requires Python 3.10 or later and has no third-party runtime dependencies for its core checks. Local verification used Python 3.12.14 on Windows. Continuous integration covers Linux and Windows with Python 3.10 and 3.12, running 27 tests and package-hash verification in each combination. From the root of the repository, run the following commands using a fresh output directory each time.</w:t>
      </w:r>
    </w:p>
    <w:p>
      <w:r>
        <w:t>python -m unittest discover -s tests -v</w:t>
      </w:r>
    </w:p>
    <w:p>
      <w:r>
        <w:t>python -m seismic_eval_audit examples/metadata.csv --output NEW_REPORT</w:t>
      </w:r>
    </w:p>
    <w:p>
      <w:r>
        <w:t>Alternatively install the provided wheel with pip, then run seismic-eval-audit. The wheel was tested in a separate installation directory. The command-line interface runs only the source-membership check. Exit status 0 includes PASS and WARNING; status 1 indicates overlap; status 2 indicates invalid input or an I/O error. Read report.json rather than treating exit status 0 as general certification. Use --strict to return exit 1 for WARNING as well as FAIL. Exit 2 still denotes invalid input or I/O failure.</w:t>
      </w:r>
    </w:p>
    <w:p>
      <w:r>
        <w:t>For SeisBench-shaped input, select the existing record column: python -m seismic_eval_audit metadata.csv --record trace_name --group source_id --split split --output NEW_REPORT. Strings are compared exactly. Split labels such as dev and val are not silently merged. Document any harmonization before audit. Repeated record IDs are rejected even when their other fields agree.</w:t>
      </w:r>
    </w:p>
    <w:p>
      <w:pPr>
        <w:pStyle w:val="Heading1"/>
      </w:pPr>
      <w:r>
        <w:rPr>
          <w:color w:val="000000"/>
        </w:rPr>
        <w:t>2 Additional API contracts</w:t>
      </w:r>
    </w:p>
    <w:p>
      <w:pPr>
        <w:pStyle w:val="Caption"/>
        <w:keepNext/>
        <w:keepLines/>
      </w:pPr>
      <w:r>
        <w:t>Table S1 Inputs and scope of Python functions</w:t>
      </w:r>
    </w:p>
    <w:tbl>
      <w:tblPr>
        <w:tblW w:type="auto" w:w="0"/>
        <w:tblLayout w:type="fixed"/>
        <w:tblLook w:firstColumn="1" w:firstRow="1" w:lastColumn="0" w:lastRow="0" w:noHBand="0" w:noVBand="1" w:val="04A0"/>
      </w:tblPr>
      <w:tblGrid>
        <w:gridCol w:w="1944"/>
        <w:gridCol w:w="3456"/>
        <w:gridCol w:w="3888"/>
      </w:tblGrid>
      <w:tr>
        <w:trPr>
          <w:tblHeade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Function</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Input</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Condition checked</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audit_split</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record_id, source_id, split</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Each source occurs in one subset</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check_lineage</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Parent and child tables; child parent_id</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Known parent; inherited source and split</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check_oof</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Held, fit and inner-validation tables</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Three source sets are pairwise disjoint</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check_schema</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Actual and expected ordered lists</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Exact channel-list equality</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check_artifacts</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Root directory; path and sha256 entries</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Frozen bytes; no path outside root</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audit_history</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Current memberships and source-role history</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Documented roles and unknown history</w:t>
            </w:r>
          </w:p>
        </w:tc>
      </w:tr>
    </w:tbl>
    <w:p>
      <w:r>
        <w:t>See tests/test_audit.py and tests/test_history_strict.py for executable examples. audit_history accepts explicit development-role labels and counts sources and records in mutually exclusive categories: prior development, prior-test-only, unknown and other documented roles. It returns WARNING because a recorded role never certifies independence. Missing current test records are rejected. write_report formats split reports only. The JSON fields sources and shared_sources retain their original names when using an alternative grouping column; group_column identifies what is actually counted.</w:t>
      </w:r>
    </w:p>
    <w:p>
      <w:pPr>
        <w:pStyle w:val="Heading1"/>
      </w:pPr>
      <w:r>
        <w:rPr>
          <w:color w:val="000000"/>
        </w:rPr>
        <w:t>3 Reproduce the ETHZ demonstration</w:t>
      </w:r>
    </w:p>
    <w:p>
      <w:r>
        <w:t>python fetch_ethz.py --output NEW_METADATA.csv</w:t>
      </w:r>
    </w:p>
    <w:p>
      <w:r>
        <w:t>python run_ethz.py --metadata NEW_METADATA.csv --output NEW_ETHZ_RESULTS</w:t>
      </w:r>
    </w:p>
    <w:p>
      <w:r>
        <w:t>The downloader reads only the official metadata CSV and rejects bytes differing from the tested checksum. No waveform download is required. The metadata were retrieved on 27 October 2026. SHA-256: 542d2e9cfc35847668521fe335bc955b00a42f59f06eaa921ffb92f6009a1dee. The source URL appears in the main-text Data availability statement and in the downloader. If upstream bytes change, investigate the difference before changing the expected hash; the current results apply to the recorded bytes.</w:t>
      </w:r>
    </w:p>
    <w:p>
      <w:r>
        <w:t>The script writes provided, record_random and grouped directories, each with membership.csv, report.json, report.md and violations.csv. The summary records the input hash, Python version, seed and allocation fractions. The original reports under Results use the prefixes ethz_provided, ethz_record_random and ethz_grouped. These naming differences do not change the assignments. Compare counts and membership, not elapsed-time fields.</w:t>
      </w:r>
    </w:p>
    <w:p>
      <w:pPr>
        <w:pStyle w:val="Caption"/>
        <w:keepNext/>
        <w:keepLines/>
      </w:pPr>
      <w:r>
        <w:t>Table S2 ETHZ source counts by subset</w:t>
      </w:r>
    </w:p>
    <w:tbl>
      <w:tblPr>
        <w:tblW w:type="auto" w:w="0"/>
        <w:tblLayout w:type="fixed"/>
        <w:tblLook w:firstColumn="1" w:firstRow="1" w:lastColumn="0" w:lastRow="0" w:noHBand="0" w:noVBand="1" w:val="04A0"/>
      </w:tblPr>
      <w:tblGrid>
        <w:gridCol w:w="3456"/>
        <w:gridCol w:w="1944"/>
        <w:gridCol w:w="1944"/>
        <w:gridCol w:w="1944"/>
      </w:tblGrid>
      <w:tr>
        <w:trPr>
          <w:tblHeade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Partition</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Train sources</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Dev sources</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Test sources</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Supplied</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1500</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207</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524</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Record-random</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2217</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1705</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1736</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Source-grouped</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1561</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334</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336</w:t>
            </w:r>
          </w:p>
        </w:tc>
      </w:tr>
    </w:tbl>
    <w:p>
      <w:r>
        <w:t>Source counts for the record-random condition sum to more than 2,231 because sources recur across subsets. Pairwise shared-source counts are 1,695 for train–dev, 1,728 for train–test and 1,403 for dev–test. Their sum is not the overall count of 2,028 distinct shared sources. The corresponding overall affected-record count is 35,980. All supplied and grouped pairwise intersections are zero.</w:t>
      </w:r>
    </w:p>
    <w:p>
      <w:pPr>
        <w:pStyle w:val="Heading1"/>
      </w:pPr>
      <w:r>
        <w:rPr>
          <w:color w:val="000000"/>
        </w:rPr>
        <w:t>4 Controlled verification</w:t>
      </w:r>
    </w:p>
    <w:p>
      <w:r>
        <w:t>The 27-test suite covers the original 20 cases plus exclusive source/record history counts, duplicate-history handling, unknown-history counts, missing test records, custom development labels, invalid roles and strict CLI warning exit status. These are functional tests, not a quantitative estimate of sensitivity to every possible leakage mechanism.</w:t>
      </w:r>
    </w:p>
    <w:p>
      <w:r>
        <w:t>A separate wheel installation passed the documented membership example. The portable ETHZ run reproduced the deterministic counts. Direct set-based cross-checks were used for the three partitions. No timing benchmark is claimed: audit_seconds in JSON measures a single in-memory call and excludes download, CSV loading and report writing. No training wall-clock measurement was made.</w:t>
      </w:r>
    </w:p>
    <w:p>
      <w:pPr>
        <w:pStyle w:val="Heading2"/>
      </w:pPr>
      <w:r>
        <w:rPr>
          <w:color w:val="000000"/>
        </w:rPr>
        <w:t>4.1 Real artifacts and station-key audit</w:t>
      </w:r>
    </w:p>
    <w:p>
      <w:r>
        <w:t>Run audit_case_studies.py with --stead-root pointing to source_verified_v2, --ethz pointing to the checksum-verified metadata CSV, and --output pointing to a new directory. It reads existing mappings, memberships, receipts and files only. Input hashes and run_receipt.json accompany outputs. The historical example can also be run directly from examples/historical_stead.csv.</w:t>
      </w:r>
    </w:p>
    <w:p>
      <w:pPr/>
      <w:r>
        <w:t>The separate source_verified_v2 case-study directory is distributed through https://github.com/rcw3712/ICNN_MetaPicker_Curated_STEAD_MATLAB and its historical model/result archive. The supplied path must contain inputs, results and audit directories plus the referenced model artifacts. The lightweight Python repository does not duplicate those checkpoints.</w:t>
      </w:r>
    </w:p>
    <w:p>
      <w:r>
        <w:t>historical/report.json reports 283 sources spanning subsets; historical/test_exposure_counts.json reports 151/335 and 168/335 historical test records. history/report.json reports 196 sources/304 records with development roles and 25 sources/26 records with prior-test-only roles. oof/report.json contains 30 checks across six files, using five inner-fold tables shared across the six configurations. artifacts/checkpoints.json and artifacts/code.json contain successful comparisons for 106 and 93 files respectively.</w:t>
      </w:r>
    </w:p>
    <w:p>
      <w:r>
        <w:t>lineage/reconstructed_children.csv creates unique audit keys for 9,264 augmented entries from the existing OOF replay receipts. Parent IDs and training labels are adapted from receipt context; source and fold values are compared with frozen memberships. This checks recorded links, not an original augmentation-time log or child waveform contents. check_schema remains demonstrated by controlled fixtures only. The manuscript labels this evidence Consistent (reconstructed); the low-level API PASS denotes only that the supplied tables satisfy its contract.</w:t>
      </w:r>
    </w:p>
    <w:p>
      <w:r>
        <w:t>ethz_station/report.json uses station_network_code.station_code, not location or deployment epoch. It reports 238 keys overall, 190 shared across any subsets and 180 shared between training and testing. The latter cover 9,637 test records. FAIL refers to a declared station-exclusion rule and does not invalidate the supplied source-disjoint split. The summary uses the legacy field names sources/shared_sources with group_column set to station_key.</w:t>
      </w:r>
    </w:p>
    <w:p>
      <w:pPr>
        <w:pStyle w:val="Heading1"/>
      </w:pPr>
      <w:r>
        <w:rPr>
          <w:color w:val="000000"/>
        </w:rPr>
        <w:t>5 Evidence levels in the STEAD case</w:t>
      </w:r>
    </w:p>
    <w:p>
      <w:pPr>
        <w:pStyle w:val="Caption"/>
        <w:keepNext/>
        <w:keepLines/>
      </w:pPr>
      <w:r>
        <w:t>Table S3 Reproduction levels and their boundaries</w:t>
      </w:r>
    </w:p>
    <w:tbl>
      <w:tblPr>
        <w:tblW w:type="auto" w:w="0"/>
        <w:tblLayout w:type="fixed"/>
        <w:tblLook w:firstColumn="1" w:firstRow="1" w:lastColumn="0" w:lastRow="0" w:noHBand="0" w:noVBand="1" w:val="04A0"/>
      </w:tblPr>
      <w:tblGrid>
        <w:gridCol w:w="1872"/>
        <w:gridCol w:w="3744"/>
        <w:gridCol w:w="3672"/>
      </w:tblGrid>
      <w:tr>
        <w:trPr>
          <w:tblHeade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Level</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Available evidence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Not established</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Identity recovery</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2,234 exact local waveform matches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Approximate duplicates or global uniqueness</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Export reconstruction</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Previously recorded 2,234 CSV hash matches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Original filtering and selection decisions</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Current membership</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Saved membership check finds zero shared sources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Absence of earlier development exposure</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Recorded computation</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106 checkpoint loads and 70 prediction sets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Fresh training or cross-platform equivalence</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 review</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196/221 current test sources had train/validation roles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 development-naive test population</w:t>
            </w:r>
          </w:p>
        </w:tc>
      </w:tr>
    </w:tbl>
    <w:p>
      <w:r>
        <w:t>The prior replay also records 18,528 OOF and 1,980 test feature tensors and 1,260 independently recalculated metric rows. These are existing receipts; no models were rerun for this study. The prior workflow used temporal stacking and a PhaseNet-style comparator called PhaseNetMatched, with three-component and Z-only inputs. These names identify the historical implementation; the present note does not rank the methods. Architecture and picking-performance details remain in the preserved model-focused supplement.</w:t>
      </w:r>
    </w:p>
    <w:p>
      <w:pPr/>
      <w:r>
        <w:t>The historical configuration config_ICNN_MetaPicker.m records intended source-distance ≤15 km, magnitude ≥1.5, SNR ≥10 dB and manual P/S status filters, but sets reapplyAtLoad=false. Recovery of the retained waveforms gives a different observable population: 1,750/2,234 records exceed 15 km, magnitudes range from 2.5 to 5.9, and 1,817 records have both P and S marked manual (1,986 P-manual; 1,845 S-manual). All 2,234 metadata rows contain three SNR values; 2,172 have all three ≥10 dB. These are descriptive checks of recovered metadata, not a recovered selection algorithm. An earlier thesis describes SNR 5–10 dB and magnitude ≥1.5 for a larger collection of about 28,000 waveforms, without a trace-level export mapping. Neither that description nor the later configuration establishes the selection process for these 2,234 records. These checks do not filter the retained population or retrain models.</w:t>
      </w:r>
    </w:p>
    <w:p>
      <w:r>
        <w:t>Historical counts refer to different populations: 151 of 335 historical test records share a source with historical training, and 168 with historical training or validation. In the corrected 330-record test population, 304 records from 196 sources have earlier training or validation roles. The other 26 records from 25 sources had historical test roles. None of these counts estimates the effect of leakage on accuracy.</w:t>
      </w:r>
    </w:p>
    <w:p>
      <w:pPr>
        <w:pStyle w:val="Heading1"/>
      </w:pPr>
      <w:r>
        <w:rPr>
          <w:color w:val="000000"/>
        </w:rPr>
        <w:t>6 Version preservation</w:t>
      </w:r>
    </w:p>
    <w:p>
      <w:r>
        <w:t>The historical model/result implementation is preserved separately at https://doi.org/10.5281/zenodo.22824997. Software v0.1.3 is archived at https://doi.org/10.5281/zenodo.23684054 under tag archive-v0.1.3 at commit 287138537796c577a383844a6faa57f126e17568. The Zenodo ZIP checksum and all 76 hashes in its manifest were verified against that release. The walkthrough, usage driver and receipt postdate the archive and are fixed at commit 502b5415bead677ec810207affed55a0e76a9f82. The wheel and library implementation remain unchanged. The later metadata evidence archive https://doi.org/10.5281/zenodo.23758930 preserves the unchanged wheel and walkthrough together with the new metadata evidence. Statements about files absent from the original software DOI refer specifically to version v0.1.3 at DOI 10.5281/zenodo.23684054.</w:t>
      </w:r>
    </w:p>
    <w:p>
      <w:pPr/>
      <w:r>
        <w:t>Documentation snapshot: https://github.com/rcw3712/seismic-eval-audit/tree/502b5415bead677ec810207affed55a0e76a9f82</w:t>
      </w:r>
    </w:p>
    <w:p>
      <w:pPr/>
      <w:r>
        <w:t>Manifest: https://github.com/rcw3712/seismic-eval-audit/blob/502b5415bead677ec810207affed55a0e76a9f82/CHECKSUMS.csv</w:t>
      </w:r>
    </w:p>
    <w:p>
      <w:pPr/>
      <w:r>
        <w:t>Manifest SHA-256: a2701d79c075badc3f9118e67852783182fc9eda577902ad2c6a327ae2f6e79d</w:t>
      </w:r>
    </w:p>
    <w:p>
      <w:pPr/>
      <w:r>
        <w:t>This manifest records the hashes of docs/WALKTHROUGH.md, docs/verify_walkthrough.py and case_studies/verification/wheel_usage_receipt.json. These files are absent from the original v0.1.3 DOI snapshot but are included unchanged in the later metadata evidence archive at https://doi.org/10.5281/zenodo.23758930.</w:t>
      </w:r>
    </w:p>
    <w:p>
      <w:pPr>
        <w:keepNext w:val="0"/>
      </w:pPr>
      <w:r>
        <w:t>The evidence release metadata-audit-20261028-r1 points to commit 6d7ecbbb7758e1dcfcf4cfe7f0eeb0a875bfe520. Its archived CHECKSUMS.csv has SHA-256 f67aeed755a0cef1987b96752e3660a37022ca0576a487578df1de11975a5e61. A downloaded Zenodo ZIP matched all 165 manifest entries and the complete 166-file release tree. The unchanged wheel SHA-256 is 12948abcd2805d42fa7af17e3eca2cdd499fd416e55c96aa94f9ef2a30c4b864. DataCite reported the version DOI as findable on 29 October 2026. This archive check was performed by the authors.</w:t>
      </w:r>
    </w:p>
    <w:p>
      <w:pPr/>
      <w:r>
        <w:t>The examples/historical_stead.csv table and other STEAD-derived identifier tables are attributed to Mousavi et al. (2019), with upstream metadata supplied under CC BY 4.0 at https://github.com/smousavi05/STEAD. The exported tables select retained records and add recovered source associations or workflow roles; the audit does not endorse the original extraction criteria. DATA_ATTRIBUTION.md records provenance and distinguishes upstream data terms from the software MIT licence.</w:t>
      </w:r>
    </w:p>
    <w:p>
      <w:pPr>
        <w:pStyle w:val="Heading1"/>
        <w:pageBreakBefore/>
      </w:pPr>
      <w:r>
        <w:rPr>
          <w:color w:val="000000"/>
        </w:rPr>
        <w:t>7 Split construction and saved-evidence audit</w:t>
      </w:r>
    </w:p>
    <w:p>
      <w:r>
        <w:t>Constructing a partition and inspecting a saved experiment serve different purposes. This comparison concerns the GroupKFold and GroupShuffleSplit interfaces, not all features of scikit-learn or SeisBench (Pedregosa et al. 2011; see reference below). Both activities depend on scientifically meaningful group identifiers.</w:t>
      </w:r>
    </w:p>
    <w:p>
      <w:pPr>
        <w:keepNext/>
      </w:pPr>
      <w:r>
        <w:rPr>
          <w:b/>
        </w:rPr>
        <w:t>Table S4 Complementary roles of split construction and auditing</w:t>
      </w:r>
    </w:p>
    <w:tbl>
      <w:tblPr>
        <w:tblW w:type="auto" w:w="0"/>
        <w:tblLayout w:type="fixed"/>
        <w:tblLook w:firstColumn="1" w:firstRow="1" w:lastColumn="0" w:lastRow="0" w:noHBand="0" w:noVBand="1" w:val="04A0"/>
      </w:tblPr>
      <w:tblGrid>
        <w:gridCol w:w="1944"/>
        <w:gridCol w:w="3240"/>
        <w:gridCol w:w="3816"/>
      </w:tblGrid>
      <w:tr>
        <w:trPr>
          <w:cantSplit/>
          <w:tblHeader/>
        </w:trPr>
        <w:tc>
          <w:tcPr>
            <w:tcW w:type="dxa" w:w="1944"/>
            <w:shd w:fill="E3ECF2"/>
          </w:tcPr>
          <w:p>
            <w:pPr>
              <w:spacing w:after="80" w:before="60"/>
            </w:pPr>
            <w:r>
              <w:rPr>
                <w:rFonts w:ascii="Times New Roman" w:hAnsi="Times New Roman"/>
                <w:b/>
                <w:sz w:val="19"/>
              </w:rPr>
              <w:t>Workflow need</w:t>
            </w:r>
          </w:p>
        </w:tc>
        <w:tc>
          <w:tcPr>
            <w:tcW w:type="dxa" w:w="3240"/>
            <w:shd w:fill="E3ECF2"/>
          </w:tcPr>
          <w:p>
            <w:pPr>
              <w:spacing w:after="80" w:before="60"/>
            </w:pPr>
            <w:r>
              <w:rPr>
                <w:rFonts w:ascii="Times New Roman" w:hAnsi="Times New Roman"/>
                <w:b/>
                <w:sz w:val="19"/>
              </w:rPr>
              <w:t>Grouped split interfaces</w:t>
            </w:r>
          </w:p>
        </w:tc>
        <w:tc>
          <w:tcPr>
            <w:tcW w:type="dxa" w:w="3816"/>
            <w:shd w:fill="E3ECF2"/>
          </w:tcPr>
          <w:p>
            <w:pPr>
              <w:spacing w:after="80" w:before="60"/>
            </w:pPr>
            <w:r>
              <w:rPr>
                <w:rFonts w:ascii="Times New Roman" w:hAnsi="Times New Roman"/>
                <w:b/>
                <w:sz w:val="19"/>
              </w:rPr>
              <w:t>seismic-eval-audit</w:t>
            </w:r>
          </w:p>
        </w:tc>
      </w:tr>
      <w:tr>
        <w:trPr>
          <w:cantSplit/>
        </w:trPr>
        <w:tc>
          <w:tcPr>
            <w:tcW w:type="dxa" w:w="1944"/>
          </w:tcPr>
          <w:p>
            <w:pPr>
              <w:spacing w:after="80" w:before="60"/>
            </w:pPr>
            <w:r>
              <w:rPr>
                <w:rFonts w:ascii="Times New Roman" w:hAnsi="Times New Roman"/>
                <w:b w:val="0"/>
                <w:sz w:val="19"/>
              </w:rPr>
              <w:t>Allocate records by group</w:t>
            </w:r>
          </w:p>
        </w:tc>
        <w:tc>
          <w:tcPr>
            <w:tcW w:type="dxa" w:w="3240"/>
          </w:tcPr>
          <w:p>
            <w:pPr>
              <w:spacing w:after="80" w:before="60"/>
            </w:pPr>
            <w:r>
              <w:rPr>
                <w:rFonts w:ascii="Times New Roman" w:hAnsi="Times New Roman"/>
                <w:b w:val="0"/>
                <w:sz w:val="19"/>
              </w:rPr>
              <w:t>Generate indices from supplied groups.</w:t>
            </w:r>
          </w:p>
        </w:tc>
        <w:tc>
          <w:tcPr>
            <w:tcW w:type="dxa" w:w="3816"/>
          </w:tcPr>
          <w:p>
            <w:pPr>
              <w:spacing w:after="80" w:before="60"/>
            </w:pPr>
            <w:r>
              <w:rPr>
                <w:rFonts w:ascii="Times New Roman" w:hAnsi="Times New Roman"/>
                <w:b w:val="0"/>
                <w:sz w:val="19"/>
              </w:rPr>
              <w:t>Provides a simple illustrative splitter; no new splitting algorithm.</w:t>
            </w:r>
          </w:p>
        </w:tc>
      </w:tr>
      <w:tr>
        <w:trPr>
          <w:cantSplit/>
        </w:trPr>
        <w:tc>
          <w:tcPr>
            <w:tcW w:type="dxa" w:w="1944"/>
          </w:tcPr>
          <w:p>
            <w:pPr>
              <w:spacing w:after="80" w:before="60"/>
            </w:pPr>
            <w:r>
              <w:rPr>
                <w:rFonts w:ascii="Times New Roman" w:hAnsi="Times New Roman"/>
                <w:b w:val="0"/>
                <w:sz w:val="19"/>
              </w:rPr>
              <w:t>Inspect an existing partition</w:t>
            </w:r>
          </w:p>
        </w:tc>
        <w:tc>
          <w:tcPr>
            <w:tcW w:type="dxa" w:w="3240"/>
          </w:tcPr>
          <w:p>
            <w:pPr>
              <w:spacing w:after="80" w:before="60"/>
            </w:pPr>
            <w:r>
              <w:rPr>
                <w:rFonts w:ascii="Times New Roman" w:hAnsi="Times New Roman"/>
                <w:b w:val="0"/>
                <w:sz w:val="19"/>
              </w:rPr>
              <w:t>Checks can be written around generated indices.</w:t>
            </w:r>
          </w:p>
        </w:tc>
        <w:tc>
          <w:tcPr>
            <w:tcW w:type="dxa" w:w="3816"/>
          </w:tcPr>
          <w:p>
            <w:pPr>
              <w:spacing w:after="80" w:before="60"/>
            </w:pPr>
            <w:r>
              <w:rPr>
                <w:rFonts w:ascii="Times New Roman" w:hAnsi="Times New Roman"/>
                <w:b w:val="0"/>
                <w:sz w:val="19"/>
              </w:rPr>
              <w:t>Consumes saved memberships and reports violations, pairwise counts and status.</w:t>
            </w:r>
          </w:p>
        </w:tc>
      </w:tr>
      <w:tr>
        <w:trPr>
          <w:cantSplit/>
        </w:trPr>
        <w:tc>
          <w:tcPr>
            <w:tcW w:type="dxa" w:w="1944"/>
          </w:tcPr>
          <w:p>
            <w:pPr>
              <w:spacing w:after="80" w:before="60"/>
            </w:pPr>
            <w:r>
              <w:rPr>
                <w:rFonts w:ascii="Times New Roman" w:hAnsi="Times New Roman"/>
                <w:b w:val="0"/>
                <w:sz w:val="19"/>
              </w:rPr>
              <w:t>Inspect downstream evidence</w:t>
            </w:r>
          </w:p>
        </w:tc>
        <w:tc>
          <w:tcPr>
            <w:tcW w:type="dxa" w:w="3240"/>
          </w:tcPr>
          <w:p>
            <w:pPr>
              <w:spacing w:after="80" w:before="60"/>
            </w:pPr>
            <w:r>
              <w:rPr>
                <w:rFonts w:ascii="Times New Roman" w:hAnsi="Times New Roman"/>
                <w:b w:val="0"/>
                <w:sz w:val="19"/>
              </w:rPr>
              <w:t>Outside the two splitting interfaces being compared.</w:t>
            </w:r>
          </w:p>
        </w:tc>
        <w:tc>
          <w:tcPr>
            <w:tcW w:type="dxa" w:w="3816"/>
          </w:tcPr>
          <w:p>
            <w:pPr>
              <w:spacing w:after="80" w:before="60"/>
            </w:pPr>
            <w:r>
              <w:rPr>
                <w:rFonts w:ascii="Times New Roman" w:hAnsi="Times New Roman"/>
                <w:b w:val="0"/>
                <w:sz w:val="19"/>
              </w:rPr>
              <w:t>Separate APIs consume lineage, OOF, schema, hashes and historical roles.</w:t>
            </w:r>
          </w:p>
        </w:tc>
      </w:tr>
      <w:tr>
        <w:trPr>
          <w:cantSplit/>
        </w:trPr>
        <w:tc>
          <w:tcPr>
            <w:tcW w:type="dxa" w:w="1944"/>
          </w:tcPr>
          <w:p>
            <w:pPr>
              <w:spacing w:after="80" w:before="60"/>
            </w:pPr>
            <w:r>
              <w:rPr>
                <w:rFonts w:ascii="Times New Roman" w:hAnsi="Times New Roman"/>
                <w:b w:val="0"/>
                <w:sz w:val="19"/>
              </w:rPr>
              <w:t>Establish independent confirmation</w:t>
            </w:r>
          </w:p>
        </w:tc>
        <w:tc>
          <w:tcPr>
            <w:tcW w:type="dxa" w:w="3240"/>
          </w:tcPr>
          <w:p>
            <w:pPr>
              <w:spacing w:after="80" w:before="60"/>
            </w:pPr>
            <w:r>
              <w:rPr>
                <w:rFonts w:ascii="Times New Roman" w:hAnsi="Times New Roman"/>
                <w:b w:val="0"/>
                <w:sz w:val="19"/>
              </w:rPr>
              <w:t>Group exclusion alone is insufficient.</w:t>
            </w:r>
          </w:p>
        </w:tc>
        <w:tc>
          <w:tcPr>
            <w:tcW w:type="dxa" w:w="3816"/>
          </w:tcPr>
          <w:p>
            <w:pPr>
              <w:spacing w:after="80" w:before="60"/>
            </w:pPr>
            <w:r>
              <w:rPr>
                <w:rFonts w:ascii="Times New Roman" w:hAnsi="Times New Roman"/>
                <w:b w:val="0"/>
                <w:sz w:val="19"/>
              </w:rPr>
              <w:t>History reports remain qualified; no PASS certifies independence.</w:t>
            </w:r>
          </w:p>
        </w:tc>
      </w:tr>
    </w:tbl>
    <w:p>
      <w:r>
        <w:t>Primary interface documentation: https://scikit-learn.org/stable/modules/generated/sklearn.model_selection.GroupKFold.html and https://scikit-learn.org/stable/modules/generated/sklearn.model_selection.GroupShuffleSplit.html (checked 27 October 2026).</w:t>
      </w:r>
    </w:p>
    <w:p>
      <w:r>
        <w:t>The practical distinction is the evidence artifact: a splitter returns an allocation, whereas the audit returns an inspectable statement about supplied memberships or other saved evidence. This is an integration and reporting contribution, not a claim that other libraries cannot implement equivalent checks.</w:t>
      </w:r>
    </w:p>
    <w:p>
      <w:pPr/>
      <w:r>
        <w:t>Pedregosa F, Varoquaux G, Gramfort A, Michel V, Thirion B, Grisel O, Blondel M, Prettenhofer P, Weiss R, Dubourg V, Vanderplas J, Passos A, Cournapeau D, Brucher M, Perrot M, Duchesnay E (2011) Scikit-learn: Machine Learning in Python. Journal of Machine Learning Research 12:2825–2830. https://jmlr.org/papers/v12/pedregosa11a.html</w:t>
      </w:r>
    </w:p>
    <w:p>
      <w:pPr>
        <w:pStyle w:val="Heading1"/>
        <w:pageBreakBefore/>
      </w:pPr>
      <w:r>
        <w:rPr>
          <w:color w:val="000000"/>
        </w:rPr>
        <w:t>8 Evidence exercised by each contract</w:t>
      </w:r>
    </w:p>
    <w:p>
      <w:pPr>
        <w:keepNext/>
      </w:pPr>
      <w:r>
        <w:rPr>
          <w:b/>
        </w:rPr>
        <w:t>Table S5 Real evidence, controlled examples and limits</w:t>
      </w:r>
    </w:p>
    <w:tbl>
      <w:tblPr>
        <w:tblW w:type="auto" w:w="0"/>
        <w:tblLayout w:type="fixed"/>
        <w:tblLook w:firstColumn="1" w:firstRow="1" w:lastColumn="0" w:lastRow="0" w:noHBand="0" w:noVBand="1" w:val="04A0"/>
      </w:tblPr>
      <w:tblGrid>
        <w:gridCol w:w="1512"/>
        <w:gridCol w:w="2736"/>
        <w:gridCol w:w="2304"/>
        <w:gridCol w:w="2448"/>
      </w:tblGrid>
      <w:tr>
        <w:trPr>
          <w:cantSplit/>
          <w:tblHeader/>
        </w:trPr>
        <w:tc>
          <w:tcPr>
            <w:tcW w:type="dxa" w:w="1512"/>
            <w:shd w:fill="E3ECF2"/>
          </w:tcPr>
          <w:p>
            <w:pPr>
              <w:spacing w:after="80" w:before="60"/>
            </w:pPr>
            <w:r>
              <w:rPr>
                <w:rFonts w:ascii="Times New Roman" w:hAnsi="Times New Roman"/>
                <w:b/>
                <w:sz w:val="20"/>
              </w:rPr>
              <w:t>Contract</w:t>
            </w:r>
          </w:p>
        </w:tc>
        <w:tc>
          <w:tcPr>
            <w:tcW w:type="dxa" w:w="2736"/>
            <w:shd w:fill="E3ECF2"/>
          </w:tcPr>
          <w:p>
            <w:pPr>
              <w:spacing w:after="80" w:before="60"/>
            </w:pPr>
            <w:r>
              <w:rPr>
                <w:rFonts w:ascii="Times New Roman" w:hAnsi="Times New Roman"/>
                <w:b/>
                <w:sz w:val="20"/>
              </w:rPr>
              <w:t>Case evidence</w:t>
            </w:r>
          </w:p>
        </w:tc>
        <w:tc>
          <w:tcPr>
            <w:tcW w:type="dxa" w:w="2304"/>
            <w:shd w:fill="E3ECF2"/>
          </w:tcPr>
          <w:p>
            <w:pPr>
              <w:spacing w:after="80" w:before="60"/>
            </w:pPr>
            <w:r>
              <w:rPr>
                <w:rFonts w:ascii="Times New Roman" w:hAnsi="Times New Roman"/>
                <w:b/>
                <w:sz w:val="20"/>
              </w:rPr>
              <w:t>Controlled example</w:t>
            </w:r>
          </w:p>
        </w:tc>
        <w:tc>
          <w:tcPr>
            <w:tcW w:type="dxa" w:w="2448"/>
            <w:shd w:fill="E3ECF2"/>
          </w:tcPr>
          <w:p>
            <w:pPr>
              <w:spacing w:after="80" w:before="60"/>
            </w:pPr>
            <w:r>
              <w:rPr>
                <w:rFonts w:ascii="Times New Roman" w:hAnsi="Times New Roman"/>
                <w:b/>
                <w:sz w:val="20"/>
              </w:rPr>
              <w:t>Not established</w:t>
            </w:r>
          </w:p>
        </w:tc>
      </w:tr>
      <w:tr>
        <w:trPr>
          <w:cantSplit/>
        </w:trPr>
        <w:tc>
          <w:tcPr>
            <w:tcW w:type="dxa" w:w="1512"/>
          </w:tcPr>
          <w:p>
            <w:pPr>
              <w:spacing w:after="80" w:before="60"/>
            </w:pPr>
            <w:r>
              <w:rPr>
                <w:rFonts w:ascii="Times New Roman" w:hAnsi="Times New Roman"/>
                <w:b w:val="0"/>
                <w:sz w:val="20"/>
              </w:rPr>
              <w:t>Source exclusion</w:t>
            </w:r>
          </w:p>
        </w:tc>
        <w:tc>
          <w:tcPr>
            <w:tcW w:type="dxa" w:w="2736"/>
          </w:tcPr>
          <w:p>
            <w:r>
              <w:rPr>
                <w:sz w:val="20"/>
              </w:rPr>
              <w:t>Recovered STEAD identities; ETHZ, GEOFON and ISC-EHB supplied IDs; constructed controls. Iquique not assessable.</w:t>
            </w:r>
          </w:p>
        </w:tc>
        <w:tc>
          <w:tcPr>
            <w:tcW w:type="dxa" w:w="2304"/>
          </w:tcPr>
          <w:p>
            <w:pPr>
              <w:spacing w:after="80" w:before="60"/>
            </w:pPr>
            <w:r>
              <w:rPr>
                <w:rFonts w:ascii="Times New Roman" w:hAnsi="Times New Roman"/>
                <w:b w:val="0"/>
                <w:sz w:val="20"/>
              </w:rPr>
              <w:t>Valid and overlapping memberships; missing identifiers.</w:t>
            </w:r>
          </w:p>
        </w:tc>
        <w:tc>
          <w:tcPr>
            <w:tcW w:type="dxa" w:w="2448"/>
          </w:tcPr>
          <w:p>
            <w:r>
              <w:rPr>
                <w:sz w:val="20"/>
              </w:rPr>
              <w:t>Physical identity of supplied catalog IDs; unknown duplicates.</w:t>
            </w:r>
          </w:p>
        </w:tc>
      </w:tr>
      <w:tr>
        <w:trPr>
          <w:cantSplit/>
        </w:trPr>
        <w:tc>
          <w:tcPr>
            <w:tcW w:type="dxa" w:w="1512"/>
          </w:tcPr>
          <w:p>
            <w:pPr>
              <w:spacing w:after="80" w:before="60"/>
            </w:pPr>
            <w:r>
              <w:rPr>
                <w:rFonts w:ascii="Times New Roman" w:hAnsi="Times New Roman"/>
                <w:b w:val="0"/>
                <w:sz w:val="20"/>
              </w:rPr>
              <w:t>Derived-record lineage</w:t>
            </w:r>
          </w:p>
        </w:tc>
        <w:tc>
          <w:tcPr>
            <w:tcW w:type="dxa" w:w="2736"/>
          </w:tcPr>
          <w:p>
            <w:pPr>
              <w:spacing w:after="80" w:before="60"/>
            </w:pPr>
            <w:r>
              <w:rPr>
                <w:rFonts w:ascii="Times New Roman" w:hAnsi="Times New Roman"/>
                <w:b w:val="0"/>
                <w:sz w:val="20"/>
              </w:rPr>
              <w:t>9,264 reconstructed STEAD receipt keys; no original augmentation log.</w:t>
            </w:r>
          </w:p>
        </w:tc>
        <w:tc>
          <w:tcPr>
            <w:tcW w:type="dxa" w:w="2304"/>
          </w:tcPr>
          <w:p>
            <w:pPr>
              <w:spacing w:after="80" w:before="60"/>
            </w:pPr>
            <w:r>
              <w:rPr>
                <w:rFonts w:ascii="Times New Roman" w:hAnsi="Times New Roman"/>
                <w:b w:val="0"/>
                <w:sz w:val="20"/>
              </w:rPr>
              <w:t>Known parent and inherited source/split.</w:t>
            </w:r>
          </w:p>
        </w:tc>
        <w:tc>
          <w:tcPr>
            <w:tcW w:type="dxa" w:w="2448"/>
          </w:tcPr>
          <w:p>
            <w:pPr>
              <w:spacing w:after="80" w:before="60"/>
            </w:pPr>
            <w:r>
              <w:rPr>
                <w:rFonts w:ascii="Times New Roman" w:hAnsi="Times New Roman"/>
                <w:b w:val="0"/>
                <w:sz w:val="20"/>
              </w:rPr>
              <w:t>Child waveform bytes or augmentation-time partition labels.</w:t>
            </w:r>
          </w:p>
        </w:tc>
      </w:tr>
      <w:tr>
        <w:trPr>
          <w:cantSplit/>
        </w:trPr>
        <w:tc>
          <w:tcPr>
            <w:tcW w:type="dxa" w:w="1512"/>
          </w:tcPr>
          <w:p>
            <w:pPr>
              <w:spacing w:after="80" w:before="60"/>
            </w:pPr>
            <w:r>
              <w:rPr>
                <w:rFonts w:ascii="Times New Roman" w:hAnsi="Times New Roman"/>
                <w:b w:val="0"/>
                <w:sz w:val="20"/>
              </w:rPr>
              <w:t>OOF exclusion</w:t>
            </w:r>
          </w:p>
        </w:tc>
        <w:tc>
          <w:tcPr>
            <w:tcW w:type="dxa" w:w="2736"/>
          </w:tcPr>
          <w:p>
            <w:pPr>
              <w:spacing w:after="80" w:before="60"/>
            </w:pPr>
            <w:r>
              <w:rPr>
                <w:rFonts w:ascii="Times New Roman" w:hAnsi="Times New Roman"/>
                <w:b w:val="0"/>
                <w:sz w:val="20"/>
              </w:rPr>
              <w:t>Six saved STEAD files; five inner-fold tables; 30 checks.</w:t>
            </w:r>
          </w:p>
        </w:tc>
        <w:tc>
          <w:tcPr>
            <w:tcW w:type="dxa" w:w="2304"/>
          </w:tcPr>
          <w:p>
            <w:pPr>
              <w:spacing w:after="80" w:before="60"/>
            </w:pPr>
            <w:r>
              <w:rPr>
                <w:rFonts w:ascii="Times New Roman" w:hAnsi="Times New Roman"/>
                <w:b w:val="0"/>
                <w:sz w:val="20"/>
              </w:rPr>
              <w:t>Disjoint and overlapping role sets.</w:t>
            </w:r>
          </w:p>
        </w:tc>
        <w:tc>
          <w:tcPr>
            <w:tcW w:type="dxa" w:w="2448"/>
          </w:tcPr>
          <w:p>
            <w:pPr>
              <w:spacing w:after="80" w:before="60"/>
            </w:pPr>
            <w:r>
              <w:rPr>
                <w:rFonts w:ascii="Times New Roman" w:hAnsi="Times New Roman"/>
                <w:b w:val="0"/>
                <w:sz w:val="20"/>
              </w:rPr>
              <w:t>Execution followed the saved tables; no ETHZ OOF model run.</w:t>
            </w:r>
          </w:p>
        </w:tc>
      </w:tr>
      <w:tr>
        <w:trPr>
          <w:cantSplit/>
        </w:trPr>
        <w:tc>
          <w:tcPr>
            <w:tcW w:type="dxa" w:w="1512"/>
          </w:tcPr>
          <w:p>
            <w:pPr>
              <w:spacing w:after="80" w:before="60"/>
            </w:pPr>
            <w:r>
              <w:rPr>
                <w:rFonts w:ascii="Times New Roman" w:hAnsi="Times New Roman"/>
                <w:b w:val="0"/>
                <w:sz w:val="20"/>
              </w:rPr>
              <w:t>Feature schema</w:t>
            </w:r>
          </w:p>
        </w:tc>
        <w:tc>
          <w:tcPr>
            <w:tcW w:type="dxa" w:w="2736"/>
          </w:tcPr>
          <w:p>
            <w:pPr>
              <w:spacing w:after="80" w:before="60"/>
            </w:pPr>
            <w:r>
              <w:rPr>
                <w:rFonts w:ascii="Times New Roman" w:hAnsi="Times New Roman"/>
                <w:b w:val="0"/>
                <w:sz w:val="20"/>
              </w:rPr>
              <w:t>No real-tensor audit in this study.</w:t>
            </w:r>
          </w:p>
        </w:tc>
        <w:tc>
          <w:tcPr>
            <w:tcW w:type="dxa" w:w="2304"/>
          </w:tcPr>
          <w:p>
            <w:pPr>
              <w:spacing w:after="80" w:before="60"/>
            </w:pPr>
            <w:r>
              <w:rPr>
                <w:rFonts w:ascii="Times New Roman" w:hAnsi="Times New Roman"/>
                <w:b w:val="0"/>
                <w:sz w:val="20"/>
              </w:rPr>
              <w:t>Ordered channel lists and swaps.</w:t>
            </w:r>
          </w:p>
        </w:tc>
        <w:tc>
          <w:tcPr>
            <w:tcW w:type="dxa" w:w="2448"/>
          </w:tcPr>
          <w:p>
            <w:pPr>
              <w:spacing w:after="80" w:before="60"/>
            </w:pPr>
            <w:r>
              <w:rPr>
                <w:rFonts w:ascii="Times New Roman" w:hAnsi="Times New Roman"/>
                <w:b w:val="0"/>
                <w:sz w:val="20"/>
              </w:rPr>
              <w:t>Real model tensor contents or physical channel correctness.</w:t>
            </w:r>
          </w:p>
        </w:tc>
      </w:tr>
      <w:tr>
        <w:trPr>
          <w:cantSplit/>
        </w:trPr>
        <w:tc>
          <w:tcPr>
            <w:tcW w:type="dxa" w:w="1512"/>
          </w:tcPr>
          <w:p>
            <w:pPr>
              <w:spacing w:after="80" w:before="60"/>
            </w:pPr>
            <w:r>
              <w:rPr>
                <w:rFonts w:ascii="Times New Roman" w:hAnsi="Times New Roman"/>
                <w:b w:val="0"/>
                <w:sz w:val="20"/>
              </w:rPr>
              <w:t>Artifact identity</w:t>
            </w:r>
          </w:p>
        </w:tc>
        <w:tc>
          <w:tcPr>
            <w:tcW w:type="dxa" w:w="2736"/>
          </w:tcPr>
          <w:p>
            <w:pPr>
              <w:spacing w:after="80" w:before="60"/>
            </w:pPr>
            <w:r>
              <w:rPr>
                <w:rFonts w:ascii="Times New Roman" w:hAnsi="Times New Roman"/>
                <w:b w:val="0"/>
                <w:sz w:val="20"/>
              </w:rPr>
              <w:t>106 saved checkpoint and 93 public-code hash comparisons.</w:t>
            </w:r>
          </w:p>
        </w:tc>
        <w:tc>
          <w:tcPr>
            <w:tcW w:type="dxa" w:w="2304"/>
          </w:tcPr>
          <w:p>
            <w:pPr>
              <w:spacing w:after="80" w:before="60"/>
            </w:pPr>
            <w:r>
              <w:rPr>
                <w:rFonts w:ascii="Times New Roman" w:hAnsi="Times New Roman"/>
                <w:b w:val="0"/>
                <w:sz w:val="20"/>
              </w:rPr>
              <w:t>Known bytes and deliberately changed artifacts.</w:t>
            </w:r>
          </w:p>
        </w:tc>
        <w:tc>
          <w:tcPr>
            <w:tcW w:type="dxa" w:w="2448"/>
          </w:tcPr>
          <w:p>
            <w:pPr>
              <w:spacing w:after="80" w:before="60"/>
            </w:pPr>
            <w:r>
              <w:rPr>
                <w:rFonts w:ascii="Times New Roman" w:hAnsi="Times New Roman"/>
                <w:b w:val="0"/>
                <w:sz w:val="20"/>
              </w:rPr>
              <w:t>Scientific correctness or independent model validity.</w:t>
            </w:r>
          </w:p>
        </w:tc>
      </w:tr>
      <w:tr>
        <w:trPr>
          <w:cantSplit/>
        </w:trPr>
        <w:tc>
          <w:tcPr>
            <w:tcW w:type="dxa" w:w="1512"/>
          </w:tcPr>
          <w:p>
            <w:pPr>
              <w:spacing w:after="80" w:before="60"/>
            </w:pPr>
            <w:r>
              <w:rPr>
                <w:rFonts w:ascii="Times New Roman" w:hAnsi="Times New Roman"/>
                <w:b w:val="0"/>
                <w:sz w:val="20"/>
              </w:rPr>
              <w:t>Historical roles</w:t>
            </w:r>
          </w:p>
        </w:tc>
        <w:tc>
          <w:tcPr>
            <w:tcW w:type="dxa" w:w="2736"/>
          </w:tcPr>
          <w:p>
            <w:pPr>
              <w:spacing w:after="80" w:before="60"/>
            </w:pPr>
            <w:r>
              <w:rPr>
                <w:rFonts w:ascii="Times New Roman" w:hAnsi="Times New Roman"/>
                <w:b w:val="0"/>
                <w:sz w:val="20"/>
              </w:rPr>
              <w:t>Recovered STEAD memberships cross-checked with frozen role evidence.</w:t>
            </w:r>
          </w:p>
        </w:tc>
        <w:tc>
          <w:tcPr>
            <w:tcW w:type="dxa" w:w="2304"/>
          </w:tcPr>
          <w:p>
            <w:pPr>
              <w:spacing w:after="80" w:before="60"/>
            </w:pPr>
            <w:r>
              <w:rPr>
                <w:rFonts w:ascii="Times New Roman" w:hAnsi="Times New Roman"/>
                <w:b w:val="0"/>
                <w:sz w:val="20"/>
              </w:rPr>
              <w:t>Earlier training and unknown-history examples.</w:t>
            </w:r>
          </w:p>
        </w:tc>
        <w:tc>
          <w:tcPr>
            <w:tcW w:type="dxa" w:w="2448"/>
          </w:tcPr>
          <w:p>
            <w:pPr>
              <w:spacing w:after="80" w:before="60"/>
            </w:pPr>
            <w:r>
              <w:rPr>
                <w:rFonts w:ascii="Times New Roman" w:hAnsi="Times New Roman"/>
                <w:b w:val="0"/>
                <w:sz w:val="20"/>
              </w:rPr>
              <w:t>Absence of undocumented exposure; no ETHZ history audit.</w:t>
            </w:r>
          </w:p>
        </w:tc>
      </w:tr>
      <w:tr>
        <w:trPr>
          <w:cantSplit/>
        </w:trPr>
        <w:tc>
          <w:tcPr>
            <w:tcW w:type="dxa" w:w="1512"/>
          </w:tcPr>
          <w:p>
            <w:pPr>
              <w:spacing w:after="80" w:before="60"/>
            </w:pPr>
            <w:r>
              <w:rPr>
                <w:rFonts w:ascii="Times New Roman" w:hAnsi="Times New Roman"/>
                <w:b w:val="0"/>
                <w:sz w:val="20"/>
              </w:rPr>
              <w:t>Station exclusion</w:t>
            </w:r>
          </w:p>
        </w:tc>
        <w:tc>
          <w:tcPr>
            <w:tcW w:type="dxa" w:w="2736"/>
          </w:tcPr>
          <w:p>
            <w:r>
              <w:rPr>
                <w:sz w:val="20"/>
              </w:rPr>
              <w:t>Complete network–station memberships in four datasets.</w:t>
            </w:r>
          </w:p>
        </w:tc>
        <w:tc>
          <w:tcPr>
            <w:tcW w:type="dxa" w:w="2304"/>
          </w:tcPr>
          <w:p>
            <w:pPr>
              <w:spacing w:after="80" w:before="60"/>
            </w:pPr>
            <w:r>
              <w:rPr>
                <w:rFonts w:ascii="Times New Roman" w:hAnsi="Times New Roman"/>
                <w:b w:val="0"/>
                <w:sz w:val="20"/>
              </w:rPr>
              <w:t>Direct set comparisons against all four tables.</w:t>
            </w:r>
          </w:p>
        </w:tc>
        <w:tc>
          <w:tcPr>
            <w:tcW w:type="dxa" w:w="2448"/>
          </w:tcPr>
          <w:p>
            <w:r>
              <w:rPr>
                <w:sz w:val="20"/>
              </w:rPr>
              <w:t>Unseen-station model performance; deployment epochs.</w:t>
            </w:r>
          </w:p>
        </w:tc>
      </w:tr>
      <w:tr>
        <w:trPr>
          <w:cantSplit/>
        </w:trPr>
        <w:tc>
          <w:tcPr>
            <w:tcW w:type="dxa" w:w="1512"/>
          </w:tcPr>
          <w:p>
            <w:pPr>
              <w:spacing w:after="80" w:before="60"/>
            </w:pPr>
            <w:r>
              <w:rPr>
                <w:rFonts w:ascii="Times New Roman" w:hAnsi="Times New Roman"/>
                <w:b w:val="0"/>
                <w:sz w:val="20"/>
              </w:rPr>
              <w:t>Space and time groups</w:t>
            </w:r>
          </w:p>
        </w:tc>
        <w:tc>
          <w:tcPr>
            <w:tcW w:type="dxa" w:w="2736"/>
          </w:tcPr>
          <w:p>
            <w:r>
              <w:rPr>
                <w:sz w:val="20"/>
              </w:rPr>
              <w:t>Twelve spatial grids and nine temporal definitions on ETHZ.</w:t>
            </w:r>
          </w:p>
        </w:tc>
        <w:tc>
          <w:tcPr>
            <w:tcW w:type="dxa" w:w="2304"/>
          </w:tcPr>
          <w:p>
            <w:pPr>
              <w:spacing w:after="80" w:before="60"/>
            </w:pPr>
            <w:r>
              <w:rPr>
                <w:rFonts w:ascii="Times New Roman" w:hAnsi="Times New Roman"/>
                <w:b w:val="0"/>
                <w:sz w:val="20"/>
              </w:rPr>
              <w:t>Separate recomputation; documented chronological cutoffs.</w:t>
            </w:r>
          </w:p>
        </w:tc>
        <w:tc>
          <w:tcPr>
            <w:tcW w:type="dxa" w:w="2448"/>
          </w:tcPr>
          <w:p>
            <w:r>
              <w:rPr>
                <w:sz w:val="20"/>
              </w:rPr>
              <w:t>Distance-buffer exclusion, statistical independence or accuracy effects.</w:t>
            </w:r>
          </w:p>
        </w:tc>
      </w:tr>
    </w:tbl>
    <w:p>
      <w:r>
        <w:t>The additional installed-wheel walkthrough uses synthetic examples for API usage; these do not upgrade the real-evidence level of any contract. The walkthrough ETHZ part exercises source and station membership. The separate extension adds source and station checks across four datasets and 21 ETHZ spatial/temporal configurations (Section 10), without extending the lineage, OOF or feature-schema evidence to those datasets. Reconstructed lineage is reported as Consistent (reconstructed), even when the underlying supplied-table check returns PASS.</w:t>
      </w:r>
    </w:p>
    <w:p>
      <w:pPr>
        <w:pStyle w:val="Heading1"/>
        <w:pageBreakBefore/>
      </w:pPr>
      <w:r>
        <w:rPr>
          <w:color w:val="000000"/>
        </w:rPr>
        <w:t>9 Follow the installed-wheel walkthrough</w:t>
      </w:r>
    </w:p>
    <w:p>
      <w:r>
        <w:t>The complete executable guide is docs/WALKTHROUGH.md. It uses the unchanged v0.1.3 wheel and accepts native SeisBench columns. Choose fresh output directories. The downloader enforces the recorded ETHZ SHA-256 (Section 3).</w:t>
      </w:r>
    </w:p>
    <w:p>
      <w:pPr>
        <w:spacing w:after="100"/>
      </w:pPr>
      <w:r>
        <w:rPr>
          <w:rFonts w:ascii="Courier New" w:hAnsi="Courier New"/>
          <w:sz w:val="17"/>
        </w:rPr>
        <w:t>python -m pip install --no-deps --no-index --target INSTALLED_WHEEL dist/seismic_eval_audit-0.1.3-py3-none-any.whl</w:t>
      </w:r>
    </w:p>
    <w:p>
      <w:r>
        <w:t>The installation command is one logical line, even if the page wraps it. Then retrieve metadata and execute the usage driver:</w:t>
      </w:r>
    </w:p>
    <w:p>
      <w:pPr>
        <w:spacing w:after="100"/>
      </w:pPr>
      <w:r>
        <w:rPr>
          <w:rFonts w:ascii="Courier New" w:hAnsi="Courier New"/>
          <w:sz w:val="17"/>
        </w:rPr>
        <w:t>python fetch_ethz.py --output ETHZ_METADATA.csv</w:t>
        <w:br/>
        <w:t>python docs/verify_walkthrough.py --installed INSTALLED_WHEEL --output USAGE_RUN --metadata ETHZ_METADATA.csv</w:t>
      </w:r>
    </w:p>
    <w:p>
      <w:r>
        <w:t>Each displayed command is one logical line. The driver verifies that imports come from the installed wheel, runs the CLI outside the checkout and saves receipt.json, SUMMARY.md, stdout/stderr, split reports and synthetic API JSON. It checks ETHZ counts against direct set calculations. Omitting --metadata runs only the offline synthetic examples used in CI.</w:t>
      </w:r>
    </w:p>
    <w:p>
      <w:r>
        <w:t>The author-run Windows/Python 3.12.14 verification used the cached ETHZ CSV with the recorded hash. Source membership returned PASS for 36,743 records and 2,231 source IDs. Station membership returned FAIL for 190 keys shared across any subsets, including 180 train–test keys covering 9,637 test records. This is a separate station-exclusion requirement, not a defect in the supplied source-disjoint split.</w:t>
      </w:r>
    </w:p>
    <w:p>
      <w:pPr>
        <w:keepNext/>
      </w:pPr>
      <w:r>
        <w:rPr>
          <w:b/>
        </w:rPr>
        <w:t>Table S6 Observed CLI outcomes in the synthetic usage example</w:t>
      </w:r>
    </w:p>
    <w:tbl>
      <w:tblPr>
        <w:tblW w:type="auto" w:w="0"/>
        <w:tblLayout w:type="fixed"/>
        <w:tblLook w:firstColumn="1" w:firstRow="1" w:lastColumn="0" w:lastRow="0" w:noHBand="0" w:noVBand="1" w:val="04A0"/>
      </w:tblPr>
      <w:tblGrid>
        <w:gridCol w:w="2520"/>
        <w:gridCol w:w="1872"/>
        <w:gridCol w:w="4608"/>
      </w:tblGrid>
      <w:tr>
        <w:trPr>
          <w:cantSplit/>
          <w:tblHeader/>
        </w:trPr>
        <w:tc>
          <w:tcPr>
            <w:tcW w:type="dxa" w:w="2520"/>
            <w:shd w:fill="E3ECF2"/>
          </w:tcPr>
          <w:p>
            <w:pPr>
              <w:spacing w:after="80" w:before="60"/>
            </w:pPr>
            <w:r>
              <w:rPr>
                <w:rFonts w:ascii="Times New Roman" w:hAnsi="Times New Roman"/>
                <w:b/>
                <w:sz w:val="19"/>
              </w:rPr>
              <w:t>Input or option</w:t>
            </w:r>
          </w:p>
        </w:tc>
        <w:tc>
          <w:tcPr>
            <w:tcW w:type="dxa" w:w="1872"/>
            <w:shd w:fill="E3ECF2"/>
          </w:tcPr>
          <w:p>
            <w:pPr>
              <w:spacing w:after="80" w:before="60"/>
            </w:pPr>
            <w:r>
              <w:rPr>
                <w:rFonts w:ascii="Times New Roman" w:hAnsi="Times New Roman"/>
                <w:b/>
                <w:sz w:val="19"/>
              </w:rPr>
              <w:t>Status and exit</w:t>
            </w:r>
          </w:p>
        </w:tc>
        <w:tc>
          <w:tcPr>
            <w:tcW w:type="dxa" w:w="4608"/>
            <w:shd w:fill="E3ECF2"/>
          </w:tcPr>
          <w:p>
            <w:pPr>
              <w:spacing w:after="80" w:before="60"/>
            </w:pPr>
            <w:r>
              <w:rPr>
                <w:rFonts w:ascii="Times New Roman" w:hAnsi="Times New Roman"/>
                <w:b/>
                <w:sz w:val="19"/>
              </w:rPr>
              <w:t>User action</w:t>
            </w:r>
          </w:p>
        </w:tc>
      </w:tr>
      <w:tr>
        <w:trPr>
          <w:cantSplit/>
        </w:trPr>
        <w:tc>
          <w:tcPr>
            <w:tcW w:type="dxa" w:w="2520"/>
          </w:tcPr>
          <w:p>
            <w:pPr>
              <w:spacing w:after="80" w:before="60"/>
            </w:pPr>
            <w:r>
              <w:rPr>
                <w:rFonts w:ascii="Times New Roman" w:hAnsi="Times New Roman"/>
                <w:b w:val="0"/>
                <w:sz w:val="19"/>
              </w:rPr>
              <w:t>Valid memberships</w:t>
            </w:r>
          </w:p>
        </w:tc>
        <w:tc>
          <w:tcPr>
            <w:tcW w:type="dxa" w:w="1872"/>
          </w:tcPr>
          <w:p>
            <w:pPr>
              <w:spacing w:after="80" w:before="60"/>
            </w:pPr>
            <w:r>
              <w:rPr>
                <w:rFonts w:ascii="Times New Roman" w:hAnsi="Times New Roman"/>
                <w:b w:val="0"/>
                <w:sz w:val="19"/>
              </w:rPr>
              <w:t>PASS; 0</w:t>
            </w:r>
          </w:p>
        </w:tc>
        <w:tc>
          <w:tcPr>
            <w:tcW w:type="dxa" w:w="4608"/>
          </w:tcPr>
          <w:p>
            <w:pPr>
              <w:spacing w:after="80" w:before="60"/>
            </w:pPr>
            <w:r>
              <w:rPr>
                <w:rFonts w:ascii="Times New Roman" w:hAnsi="Times New Roman"/>
                <w:b w:val="0"/>
                <w:sz w:val="19"/>
              </w:rPr>
              <w:t>Report the checked contract and input hash.</w:t>
            </w:r>
          </w:p>
        </w:tc>
      </w:tr>
      <w:tr>
        <w:trPr>
          <w:cantSplit/>
        </w:trPr>
        <w:tc>
          <w:tcPr>
            <w:tcW w:type="dxa" w:w="2520"/>
          </w:tcPr>
          <w:p>
            <w:pPr>
              <w:spacing w:after="80" w:before="60"/>
            </w:pPr>
            <w:r>
              <w:rPr>
                <w:rFonts w:ascii="Times New Roman" w:hAnsi="Times New Roman"/>
                <w:b w:val="0"/>
                <w:sz w:val="19"/>
              </w:rPr>
              <w:t>Injected source overlap</w:t>
            </w:r>
          </w:p>
        </w:tc>
        <w:tc>
          <w:tcPr>
            <w:tcW w:type="dxa" w:w="1872"/>
          </w:tcPr>
          <w:p>
            <w:pPr>
              <w:spacing w:after="80" w:before="60"/>
            </w:pPr>
            <w:r>
              <w:rPr>
                <w:rFonts w:ascii="Times New Roman" w:hAnsi="Times New Roman"/>
                <w:b w:val="0"/>
                <w:sz w:val="19"/>
              </w:rPr>
              <w:t>FAIL; 1</w:t>
            </w:r>
          </w:p>
        </w:tc>
        <w:tc>
          <w:tcPr>
            <w:tcW w:type="dxa" w:w="4608"/>
          </w:tcPr>
          <w:p>
            <w:pPr>
              <w:spacing w:after="80" w:before="60"/>
            </w:pPr>
            <w:r>
              <w:rPr>
                <w:rFonts w:ascii="Times New Roman" w:hAnsi="Times New Roman"/>
                <w:b w:val="0"/>
                <w:sz w:val="19"/>
              </w:rPr>
              <w:t>Inspect records and correct mapping or allocation.</w:t>
            </w:r>
          </w:p>
        </w:tc>
      </w:tr>
      <w:tr>
        <w:trPr>
          <w:cantSplit/>
        </w:trPr>
        <w:tc>
          <w:tcPr>
            <w:tcW w:type="dxa" w:w="2520"/>
          </w:tcPr>
          <w:p>
            <w:pPr>
              <w:spacing w:after="80" w:before="60"/>
            </w:pPr>
            <w:r>
              <w:rPr>
                <w:rFonts w:ascii="Times New Roman" w:hAnsi="Times New Roman"/>
                <w:b w:val="0"/>
                <w:sz w:val="19"/>
              </w:rPr>
              <w:t>Only one subset</w:t>
            </w:r>
          </w:p>
        </w:tc>
        <w:tc>
          <w:tcPr>
            <w:tcW w:type="dxa" w:w="1872"/>
          </w:tcPr>
          <w:p>
            <w:pPr>
              <w:spacing w:after="80" w:before="60"/>
            </w:pPr>
            <w:r>
              <w:rPr>
                <w:rFonts w:ascii="Times New Roman" w:hAnsi="Times New Roman"/>
                <w:b w:val="0"/>
                <w:sz w:val="19"/>
              </w:rPr>
              <w:t>WARNING; 0</w:t>
            </w:r>
          </w:p>
        </w:tc>
        <w:tc>
          <w:tcPr>
            <w:tcW w:type="dxa" w:w="4608"/>
          </w:tcPr>
          <w:p>
            <w:pPr>
              <w:spacing w:after="80" w:before="60"/>
            </w:pPr>
            <w:r>
              <w:rPr>
                <w:rFonts w:ascii="Times New Roman" w:hAnsi="Times New Roman"/>
                <w:b w:val="0"/>
                <w:sz w:val="19"/>
              </w:rPr>
              <w:t>Do not infer cross-subset exclusion.</w:t>
            </w:r>
          </w:p>
        </w:tc>
      </w:tr>
      <w:tr>
        <w:trPr>
          <w:cantSplit/>
        </w:trPr>
        <w:tc>
          <w:tcPr>
            <w:tcW w:type="dxa" w:w="2520"/>
          </w:tcPr>
          <w:p>
            <w:pPr>
              <w:spacing w:after="80" w:before="60"/>
            </w:pPr>
            <w:r>
              <w:rPr>
                <w:rFonts w:ascii="Times New Roman" w:hAnsi="Times New Roman"/>
                <w:b w:val="0"/>
                <w:sz w:val="19"/>
              </w:rPr>
              <w:t>Only one subset; --strict</w:t>
            </w:r>
          </w:p>
        </w:tc>
        <w:tc>
          <w:tcPr>
            <w:tcW w:type="dxa" w:w="1872"/>
          </w:tcPr>
          <w:p>
            <w:pPr>
              <w:spacing w:after="80" w:before="60"/>
            </w:pPr>
            <w:r>
              <w:rPr>
                <w:rFonts w:ascii="Times New Roman" w:hAnsi="Times New Roman"/>
                <w:b w:val="0"/>
                <w:sz w:val="19"/>
              </w:rPr>
              <w:t>WARNING; 1</w:t>
            </w:r>
          </w:p>
        </w:tc>
        <w:tc>
          <w:tcPr>
            <w:tcW w:type="dxa" w:w="4608"/>
          </w:tcPr>
          <w:p>
            <w:pPr>
              <w:spacing w:after="80" w:before="60"/>
            </w:pPr>
            <w:r>
              <w:rPr>
                <w:rFonts w:ascii="Times New Roman" w:hAnsi="Times New Roman"/>
                <w:b w:val="0"/>
                <w:sz w:val="19"/>
              </w:rPr>
              <w:t>Stop automated certification and inspect.</w:t>
            </w:r>
          </w:p>
        </w:tc>
      </w:tr>
      <w:tr>
        <w:trPr>
          <w:cantSplit/>
        </w:trPr>
        <w:tc>
          <w:tcPr>
            <w:tcW w:type="dxa" w:w="2520"/>
          </w:tcPr>
          <w:p>
            <w:pPr>
              <w:spacing w:after="80" w:before="60"/>
            </w:pPr>
            <w:r>
              <w:rPr>
                <w:rFonts w:ascii="Times New Roman" w:hAnsi="Times New Roman"/>
                <w:b w:val="0"/>
                <w:sz w:val="19"/>
              </w:rPr>
              <w:t>Missing source identifier</w:t>
            </w:r>
          </w:p>
        </w:tc>
        <w:tc>
          <w:tcPr>
            <w:tcW w:type="dxa" w:w="1872"/>
          </w:tcPr>
          <w:p>
            <w:pPr>
              <w:spacing w:after="80" w:before="60"/>
            </w:pPr>
            <w:r>
              <w:rPr>
                <w:rFonts w:ascii="Times New Roman" w:hAnsi="Times New Roman"/>
                <w:b w:val="0"/>
                <w:sz w:val="19"/>
              </w:rPr>
              <w:t>Input error; 2</w:t>
            </w:r>
          </w:p>
        </w:tc>
        <w:tc>
          <w:tcPr>
            <w:tcW w:type="dxa" w:w="4608"/>
          </w:tcPr>
          <w:p>
            <w:pPr>
              <w:spacing w:after="80" w:before="60"/>
            </w:pPr>
            <w:r>
              <w:rPr>
                <w:rFonts w:ascii="Times New Roman" w:hAnsi="Times New Roman"/>
                <w:b w:val="0"/>
                <w:sz w:val="19"/>
              </w:rPr>
              <w:t>Correct input and use a fresh output path.</w:t>
            </w:r>
          </w:p>
        </w:tc>
      </w:tr>
    </w:tbl>
    <w:p>
      <w:r>
        <w:t>The local full-run receipt is case_studies/verification/wheel_usage_receipt.json. CI runs the offline installed-wheel example on Windows/Linux with Python 3.10/3.12, in addition to the original 27 tests and manifest check; it does not download ETHZ. These are author-run usage and CI checks, not independent-user adoption or new model experiments.</w:t>
      </w:r>
    </w:p>
    <w:p>
      <w:pPr>
        <w:pStyle w:val="Heading1"/>
        <w:keepNext/>
      </w:pPr>
      <w:r>
        <w:t>10 Cross-dataset and ETHZ spatial and temporal audits</w:t>
      </w:r>
    </w:p>
    <w:p>
      <w:pPr>
        <w:keepNext w:val="0"/>
      </w:pPr>
      <w:r>
        <w:t>The evidence release metadata-audit-20261028-r1 (https://doi.org/10.5281/zenodo.23758930) applies the unchanged v0.1.3 wheel to four complete metadata snapshots retrieved on 28 October 2026. The 35 files comprise one each for ETHZ, GEOFON and Iquique plus 32 ISC-EHB annual chunks (1987–2018), totalling 515,692 records. Selection was purposive; earlier ETHZ results were known before this protocol, and ISC-EHB was added through a preserved amendment after Iquique source IDs proved unavailable. No cross-catalog event identity matching was attempted. Figure S1 compares source and station membership; the main text reports exact counts in Table 4.</w:t>
      </w:r>
    </w:p>
    <w:p>
      <w:pPr>
        <w:keepNext/>
        <w:jc w:val="center"/>
      </w:pPr>
      <w:r>
        <w:drawing>
          <wp:inline xmlns:a="http://schemas.openxmlformats.org/drawingml/2006/main" xmlns:pic="http://schemas.openxmlformats.org/drawingml/2006/picture">
            <wp:extent cx="5806440" cy="2966357"/>
            <wp:docPr id="1" name="Picture 1" descr="Fig. S1 Fraction of test records whose supplied source-ID or network–station key is represented in training. Source exclusion passes for ETHZ, GEOFON and ISC-EHB. Iquique source overlap is not assessable, not zero. Station overlap tests an additional evaluation requirement and does not invalidate the intended supplied partition."/>
            <wp:cNvGraphicFramePr>
              <a:graphicFrameLocks noChangeAspect="1"/>
            </wp:cNvGraphicFramePr>
            <a:graphic>
              <a:graphicData uri="http://schemas.openxmlformats.org/drawingml/2006/picture">
                <pic:pic>
                  <pic:nvPicPr>
                    <pic:cNvPr id="0" name="FigureS1_cross_dataset.png"/>
                    <pic:cNvPicPr/>
                  </pic:nvPicPr>
                  <pic:blipFill>
                    <a:blip r:embed="rId10"/>
                    <a:stretch>
                      <a:fillRect/>
                    </a:stretch>
                  </pic:blipFill>
                  <pic:spPr>
                    <a:xfrm>
                      <a:off x="0" y="0"/>
                      <a:ext cx="5806440" cy="2966357"/>
                    </a:xfrm>
                    <a:prstGeom prst="rect"/>
                  </pic:spPr>
                </pic:pic>
              </a:graphicData>
            </a:graphic>
          </wp:inline>
        </w:drawing>
      </w:r>
    </w:p>
    <w:p>
      <w:pPr>
        <w:pStyle w:val="Caption"/>
        <w:keepNext w:val="0"/>
        <w:keepLines/>
      </w:pPr>
      <w:r>
        <w:t>Fig. S1 Fraction of test records whose supplied source-ID or network–station key is represented in training. Source exclusion passes for ETHZ, GEOFON and ISC-EHB. Iquique source overlap is not assessable, not zero. Station overlap tests an additional evaluation requirement and does not invalidate the intended supplied partition.</w:t>
      </w:r>
    </w:p>
    <w:p>
      <w:pPr>
        <w:keepNext w:val="0"/>
      </w:pPr>
      <w:r>
        <w:t>Records are keyed by JSON tuples (chunk filename, native trace_name); station keys are JSON tuples (network code, station code). Supplied source IDs and split labels are unchanged. All rows remain eligible for every assessable contract. ETHZ source properties are internally consistent for all 2,231 supplied IDs. Fourteen adapter-generated sb_id_ identifiers cover 376 records: 13 training IDs/292 records, one development ID/84 records, and no test records. The pinned adapter generates these within-event keys when the resource-ID suffix is /1. They support grouping but are not themselves resolvable catalog identifiers; other event attributes may still support identification.</w:t>
      </w:r>
    </w:p>
    <w:p>
      <w:pPr>
        <w:keepNext w:val="0"/>
      </w:pPr>
      <w:r>
        <w:t>For spatial groups, WGS84 longitude–latitude coordinates are projected to EPSG:3035 using always_xy, and all locations lie within the projection area of use. Cell indices are floor((x−ox)/s) and floor((y−oy)/s), with cell size s and origin offsets ox, oy. Table S7 includes every combination of 10, 25 and 50 km sides and offsets of zero or half a cell in each axis. Fractions use 524 unique test source IDs or 10,485 test records. The primary configuration is 25 km at (0,0); grid-origin ranges are sensitivities, not confidence intervals or distance buffers.</w:t>
      </w:r>
    </w:p>
    <w:p>
      <w:pPr>
        <w:pStyle w:val="Caption"/>
        <w:keepNext/>
        <w:keepLines/>
      </w:pPr>
      <w:r>
        <w:t>Table S7 Complete ETHZ spatial sensitivity results</w:t>
      </w:r>
    </w:p>
    <w:tbl>
      <w:tblPr>
        <w:tblW w:type="auto" w:w="0"/>
        <w:tblLayout w:type="fixed"/>
        <w:tblLook w:firstColumn="1" w:firstRow="1" w:lastColumn="0" w:lastRow="0" w:noHBand="0" w:noVBand="1" w:val="04A0"/>
      </w:tblPr>
      <w:tblGrid>
        <w:gridCol w:w="936"/>
        <w:gridCol w:w="1728"/>
        <w:gridCol w:w="1584"/>
        <w:gridCol w:w="2304"/>
        <w:gridCol w:w="2736"/>
      </w:tblGrid>
      <w:tr>
        <w:trPr>
          <w:tblHeader/>
          <w:cantSplit/>
        </w:trPr>
        <w:tc>
          <w:tcPr>
            <w:tcW w:type="dxa" w:w="936"/>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left"/>
            </w:pPr>
            <w:r>
              <w:rPr>
                <w:b/>
                <w:sz w:val="19"/>
              </w:rPr>
              <w:t>Cell side</w:t>
              <w:br/>
              <w:t>km</w:t>
            </w:r>
          </w:p>
        </w:tc>
        <w:tc>
          <w:tcPr>
            <w:tcW w:type="dxa" w:w="1728"/>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center"/>
            </w:pPr>
            <w:r>
              <w:rPr>
                <w:b/>
                <w:sz w:val="19"/>
              </w:rPr>
              <w:t>Origin as fraction of cell side</w:t>
            </w:r>
          </w:p>
        </w:tc>
        <w:tc>
          <w:tcPr>
            <w:tcW w:type="dxa" w:w="1584"/>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center"/>
            </w:pPr>
            <w:r>
              <w:rPr>
                <w:b/>
                <w:sz w:val="19"/>
              </w:rPr>
              <w:t>Shared cells</w:t>
              <w:br/>
              <w:t>train–test</w:t>
            </w:r>
          </w:p>
        </w:tc>
        <w:tc>
          <w:tcPr>
            <w:tcW w:type="dxa" w:w="2304"/>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center"/>
            </w:pPr>
            <w:r>
              <w:rPr>
                <w:b/>
                <w:sz w:val="19"/>
              </w:rPr>
              <w:t>Test source IDs in training cells</w:t>
            </w:r>
          </w:p>
        </w:tc>
        <w:tc>
          <w:tcPr>
            <w:tcW w:type="dxa" w:w="2736"/>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center"/>
            </w:pPr>
            <w:r>
              <w:rPr>
                <w:b/>
                <w:sz w:val="19"/>
              </w:rPr>
              <w:t>Test records in training cells</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10</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(0, 0)</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127</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432/524</w:t>
              <w:br/>
              <w:t>(82.44%)</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8,891/10,485</w:t>
              <w:br/>
              <w:t>(84.80%)</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10</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(0.5, 0)</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130</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442/524</w:t>
              <w:br/>
              <w:t>(84.35%)</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8,897/10,485</w:t>
              <w:br/>
              <w:t>(84.85%)</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10</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(0, 0.5)</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119</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424/524</w:t>
              <w:br/>
              <w:t>(80.92%)</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8,645/10,485</w:t>
              <w:br/>
              <w:t>(82.45%)</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10</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(0.5, 0.5)</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115</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432/524</w:t>
              <w:br/>
              <w:t>(82.44%)</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8,724/10,485</w:t>
              <w:br/>
              <w:t>(83.20%)</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25</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(0, 0)</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93</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512/524</w:t>
              <w:br/>
              <w:t>(97.71%)</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10,382/10,485</w:t>
              <w:br/>
              <w:t>(99.02%)</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25</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(0.5, 0)</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97</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516/524</w:t>
              <w:br/>
              <w:t>(98.47%)</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10,426/10,485</w:t>
              <w:br/>
              <w:t>(99.44%)</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25</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(0, 0.5)</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101</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509/524</w:t>
              <w:br/>
              <w:t>(97.14%)</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10,356/10,485</w:t>
              <w:br/>
              <w:t>(98.77%)</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25</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(0.5, 0.5)</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104</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513/524</w:t>
              <w:br/>
              <w:t>(97.90%)</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10,383/10,485</w:t>
              <w:br/>
              <w:t>(99.03%)</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50</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(0, 0)</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39</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520/524</w:t>
              <w:br/>
              <w:t>(99.24%)</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10,463/10,485</w:t>
              <w:br/>
              <w:t>(99.79%)</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50</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(0.5, 0)</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44</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522/524</w:t>
              <w:br/>
              <w:t>(99.62%)</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10,473/10,485</w:t>
              <w:br/>
              <w:t>(99.89%)</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50</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(0, 0.5)</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44</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520/524</w:t>
              <w:br/>
              <w:t>(99.24%)</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10,450/10,485</w:t>
              <w:br/>
              <w:t>(99.67%)</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50</w:t>
            </w:r>
          </w:p>
        </w:tc>
        <w:tc>
          <w:tcPr>
            <w:tcW w:type="dxa" w:w="1728"/>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(0.5, 0.5)</w:t>
            </w:r>
          </w:p>
        </w:tc>
        <w:tc>
          <w:tcPr>
            <w:tcW w:type="dxa" w:w="158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47</w:t>
            </w:r>
          </w:p>
        </w:tc>
        <w:tc>
          <w:tcPr>
            <w:tcW w:type="dxa" w:w="230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523/524</w:t>
              <w:br/>
              <w:t>(99.81%)</w:t>
            </w:r>
          </w:p>
        </w:tc>
        <w:tc>
          <w:tcPr>
            <w:tcW w:type="dxa" w:w="273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10,469/10,485</w:t>
              <w:br/>
              <w:t>(99.85%)</w:t>
            </w:r>
          </w:p>
        </w:tc>
      </w:tr>
    </w:tbl>
    <w:p>
      <w:pPr>
        <w:keepNext w:val="0"/>
      </w:pPr>
      <w:r>
        <w:t>All twelve spatial configurations fail the stated cell-exclusion contract. No records are excluded. The origins refer to projected EPSG:3035 coordinates, not geographic degree offsets.</w:t>
      </w:r>
    </w:p>
    <w:p>
      <w:pPr>
        <w:keepNext w:val="0"/>
      </w:pPr>
      <w:r>
        <w:t>Temporal bins use source-origin times: calendar day, month and year, or half-open fixed-width bins anchored to 1 January 1970 UTC with zero or half-width offset (Table S8). ETHZ cutoffs 8 January and 4 September 2019 and GEOFON cutoffs 1 November 2012 and 15 March 2013 reproduce every supplied record label with zero mismatches. These checks validate the documented adapter designs. ETHZ calendar-month sharing occurs across train/development and development/test boundaries, not train/test. The 240.0153-day interval between the last training and first test origin contains development events. A broad 2019 year bin can be shared even though chronological order holds (Fig. S2).</w:t>
      </w:r>
    </w:p>
    <w:p>
      <w:pPr>
        <w:pStyle w:val="Caption"/>
        <w:keepNext/>
        <w:keepLines/>
      </w:pPr>
      <w:r>
        <w:t>Table S8 Complete ETHZ temporal sensitivity results</w:t>
      </w:r>
    </w:p>
    <w:tbl>
      <w:tblPr>
        <w:tblW w:type="auto" w:w="0"/>
        <w:tblLayout w:type="fixed"/>
        <w:tblLook w:firstColumn="1" w:firstRow="1" w:lastColumn="0" w:lastRow="0" w:noHBand="0" w:noVBand="1" w:val="04A0"/>
      </w:tblPr>
      <w:tblGrid>
        <w:gridCol w:w="2160"/>
        <w:gridCol w:w="1224"/>
        <w:gridCol w:w="1224"/>
        <w:gridCol w:w="1296"/>
        <w:gridCol w:w="1512"/>
        <w:gridCol w:w="1872"/>
      </w:tblGrid>
      <w:tr>
        <w:trPr>
          <w:tblHeader/>
          <w:cantSplit/>
        </w:trPr>
        <w:tc>
          <w:tcPr>
            <w:tcW w:type="dxa" w:w="2160"/>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left"/>
            </w:pPr>
            <w:r>
              <w:rPr>
                <w:b/>
                <w:sz w:val="19"/>
              </w:rPr>
              <w:t>Time group</w:t>
            </w:r>
          </w:p>
        </w:tc>
        <w:tc>
          <w:tcPr>
            <w:tcW w:type="dxa" w:w="1224"/>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center"/>
            </w:pPr>
            <w:r>
              <w:rPr>
                <w:b/>
                <w:sz w:val="19"/>
              </w:rPr>
              <w:t>All-subset status</w:t>
            </w:r>
          </w:p>
        </w:tc>
        <w:tc>
          <w:tcPr>
            <w:tcW w:type="dxa" w:w="1224"/>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center"/>
            </w:pPr>
            <w:r>
              <w:rPr>
                <w:b/>
                <w:sz w:val="19"/>
              </w:rPr>
              <w:t>Shared bins</w:t>
              <w:br/>
              <w:t>any pair</w:t>
            </w:r>
          </w:p>
        </w:tc>
        <w:tc>
          <w:tcPr>
            <w:tcW w:type="dxa" w:w="1296"/>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center"/>
            </w:pPr>
            <w:r>
              <w:rPr>
                <w:b/>
                <w:sz w:val="19"/>
              </w:rPr>
              <w:t>Shared bins</w:t>
              <w:br/>
              <w:t>train–test</w:t>
            </w:r>
          </w:p>
        </w:tc>
        <w:tc>
          <w:tcPr>
            <w:tcW w:type="dxa" w:w="1512"/>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center"/>
            </w:pPr>
            <w:r>
              <w:rPr>
                <w:b/>
                <w:sz w:val="19"/>
              </w:rPr>
              <w:t>Test IDs in training bins</w:t>
            </w:r>
          </w:p>
        </w:tc>
        <w:tc>
          <w:tcPr>
            <w:tcW w:type="dxa" w:w="1872"/>
            <w:vAlign w:val="center"/>
            <w:tcBorders>
              <w:top w:val="single" w:sz="4" w:color="D9D9D9"/>
              <w:left w:val="single" w:sz="4" w:color="D9D9D9"/>
              <w:bottom w:val="single" w:sz="4" w:color="D9D9D9"/>
              <w:right w:val="single" w:sz="4" w:color="D9D9D9"/>
            </w:tcBorders>
            <w:shd w:fill="EDEDED"/>
          </w:tcPr>
          <w:p>
            <w:pPr>
              <w:keepNext/>
              <w:spacing w:before="60" w:after="60" w:line="240" w:lineRule="auto"/>
              <w:jc w:val="center"/>
            </w:pPr>
            <w:r>
              <w:rPr>
                <w:b/>
                <w:sz w:val="19"/>
              </w:rPr>
              <w:t>Test records in training bins</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Calendar month</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FAIL</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2</w:t>
            </w:r>
          </w:p>
        </w:tc>
        <w:tc>
          <w:tcPr>
            <w:tcW w:type="dxa" w:w="129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w:t>
            </w:r>
          </w:p>
        </w:tc>
        <w:tc>
          <w:tcPr>
            <w:tcW w:type="dxa" w:w="151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0/524</w:t>
            </w:r>
          </w:p>
        </w:tc>
        <w:tc>
          <w:tcPr>
            <w:tcW w:type="dxa" w:w="187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0/10,485</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Calendar day</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PASS</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w:t>
            </w:r>
          </w:p>
        </w:tc>
        <w:tc>
          <w:tcPr>
            <w:tcW w:type="dxa" w:w="129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w:t>
            </w:r>
          </w:p>
        </w:tc>
        <w:tc>
          <w:tcPr>
            <w:tcW w:type="dxa" w:w="151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0/524</w:t>
            </w:r>
          </w:p>
        </w:tc>
        <w:tc>
          <w:tcPr>
            <w:tcW w:type="dxa" w:w="187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0/10,485</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Calendar year</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FAIL</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w:t>
            </w:r>
          </w:p>
        </w:tc>
        <w:tc>
          <w:tcPr>
            <w:tcW w:type="dxa" w:w="129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w:t>
            </w:r>
          </w:p>
        </w:tc>
        <w:tc>
          <w:tcPr>
            <w:tcW w:type="dxa" w:w="151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157/524</w:t>
            </w:r>
          </w:p>
        </w:tc>
        <w:tc>
          <w:tcPr>
            <w:tcW w:type="dxa" w:w="187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3,425/10,485</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Window 7d; offset 0d</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FAIL</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2</w:t>
            </w:r>
          </w:p>
        </w:tc>
        <w:tc>
          <w:tcPr>
            <w:tcW w:type="dxa" w:w="129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w:t>
            </w:r>
          </w:p>
        </w:tc>
        <w:tc>
          <w:tcPr>
            <w:tcW w:type="dxa" w:w="151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0/524</w:t>
            </w:r>
          </w:p>
        </w:tc>
        <w:tc>
          <w:tcPr>
            <w:tcW w:type="dxa" w:w="187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0/10,485</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Window 7d; offset 3.5d</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FAIL</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2</w:t>
            </w:r>
          </w:p>
        </w:tc>
        <w:tc>
          <w:tcPr>
            <w:tcW w:type="dxa" w:w="129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w:t>
            </w:r>
          </w:p>
        </w:tc>
        <w:tc>
          <w:tcPr>
            <w:tcW w:type="dxa" w:w="151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0/524</w:t>
            </w:r>
          </w:p>
        </w:tc>
        <w:tc>
          <w:tcPr>
            <w:tcW w:type="dxa" w:w="187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0/10,485</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Window 30d; offset 0d</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FAIL</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2</w:t>
            </w:r>
          </w:p>
        </w:tc>
        <w:tc>
          <w:tcPr>
            <w:tcW w:type="dxa" w:w="129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w:t>
            </w:r>
          </w:p>
        </w:tc>
        <w:tc>
          <w:tcPr>
            <w:tcW w:type="dxa" w:w="151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0/524</w:t>
            </w:r>
          </w:p>
        </w:tc>
        <w:tc>
          <w:tcPr>
            <w:tcW w:type="dxa" w:w="187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0/10,485</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Window 30d; offset 15d</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FAIL</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2</w:t>
            </w:r>
          </w:p>
        </w:tc>
        <w:tc>
          <w:tcPr>
            <w:tcW w:type="dxa" w:w="129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w:t>
            </w:r>
          </w:p>
        </w:tc>
        <w:tc>
          <w:tcPr>
            <w:tcW w:type="dxa" w:w="151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0/524</w:t>
            </w:r>
          </w:p>
        </w:tc>
        <w:tc>
          <w:tcPr>
            <w:tcW w:type="dxa" w:w="187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0/10,485</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Window 90d; offset 0d</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FAIL</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2</w:t>
            </w:r>
          </w:p>
        </w:tc>
        <w:tc>
          <w:tcPr>
            <w:tcW w:type="dxa" w:w="129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w:t>
            </w:r>
          </w:p>
        </w:tc>
        <w:tc>
          <w:tcPr>
            <w:tcW w:type="dxa" w:w="151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0/524</w:t>
            </w:r>
          </w:p>
        </w:tc>
        <w:tc>
          <w:tcPr>
            <w:tcW w:type="dxa" w:w="187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0/10,485</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spacing w:before="60" w:after="60" w:line="240" w:lineRule="auto"/>
              <w:jc w:val="left"/>
            </w:pPr>
            <w:r>
              <w:rPr>
                <w:b w:val="0"/>
                <w:sz w:val="19"/>
              </w:rPr>
              <w:t>Window 90d; offset 45d</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FAIL</w:t>
            </w:r>
          </w:p>
        </w:tc>
        <w:tc>
          <w:tcPr>
            <w:tcW w:type="dxa" w:w="1224"/>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2</w:t>
            </w:r>
          </w:p>
        </w:tc>
        <w:tc>
          <w:tcPr>
            <w:tcW w:type="dxa" w:w="1296"/>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w:t>
            </w:r>
          </w:p>
        </w:tc>
        <w:tc>
          <w:tcPr>
            <w:tcW w:type="dxa" w:w="151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0/524</w:t>
            </w:r>
          </w:p>
        </w:tc>
        <w:tc>
          <w:tcPr>
            <w:tcW w:type="dxa" w:w="1872"/>
            <w:vAlign w:val="center"/>
            <w:tcBorders>
              <w:top w:val="single" w:sz="4" w:color="D9D9D9"/>
              <w:left w:val="single" w:sz="4" w:color="D9D9D9"/>
              <w:bottom w:val="single" w:sz="4" w:color="D9D9D9"/>
              <w:right w:val="single" w:sz="4" w:color="D9D9D9"/>
            </w:tcBorders>
          </w:tcPr>
          <w:p>
            <w:pPr>
              <w:keepNext w:val="0"/>
              <w:spacing w:before="60" w:after="60" w:line="240" w:lineRule="auto"/>
              <w:jc w:val="center"/>
            </w:pPr>
            <w:r>
              <w:rPr>
                <w:b w:val="0"/>
                <w:sz w:val="19"/>
              </w:rPr>
              <w:t>0/10,485</w:t>
            </w:r>
          </w:p>
        </w:tc>
      </w:tr>
    </w:tbl>
    <w:p>
      <w:pPr>
        <w:keepNext w:val="0"/>
      </w:pPr>
      <w:r>
        <w:t>The status tests disjoint bins across all three subsets. FAIL therefore need not indicate train–test sharing. Calendar month is the primary temporal definition. Fixed-width offsets are in days; 3.5, 15 and 45 days are half the corresponding window widths. No records are excluded. These memberships do not establish statistical independence.</w:t>
      </w:r>
    </w:p>
    <w:p>
      <w:pPr>
        <w:keepNext/>
        <w:jc w:val="center"/>
      </w:pPr>
      <w:r>
        <w:drawing>
          <wp:inline xmlns:a="http://schemas.openxmlformats.org/drawingml/2006/main" xmlns:pic="http://schemas.openxmlformats.org/drawingml/2006/picture">
            <wp:extent cx="5806440" cy="2373747"/>
            <wp:docPr id="2" name="Picture 2" descr="Fig. S2 ETHZ temporal positive control and grouping sensitivity. (A) Origin-time ranges by supplied subset; the 240-day train–test separation includes development data and is not an event-free interval. (B) Shared bins across any pair versus training and testing only. Monthly sharing reflects the within-month boundaries of adjacent subsets. Year-bin sharing does not negate chronological order."/>
            <wp:cNvGraphicFramePr>
              <a:graphicFrameLocks noChangeAspect="1"/>
            </wp:cNvGraphicFramePr>
            <a:graphic>
              <a:graphicData uri="http://schemas.openxmlformats.org/drawingml/2006/picture">
                <pic:pic>
                  <pic:nvPicPr>
                    <pic:cNvPr id="0" name="FigureS2_ETHZ_temporal.png"/>
                    <pic:cNvPicPr/>
                  </pic:nvPicPr>
                  <pic:blipFill>
                    <a:blip r:embed="rId11"/>
                    <a:stretch>
                      <a:fillRect/>
                    </a:stretch>
                  </pic:blipFill>
                  <pic:spPr>
                    <a:xfrm>
                      <a:off x="0" y="0"/>
                      <a:ext cx="5806440" cy="2373747"/>
                    </a:xfrm>
                    <a:prstGeom prst="rect"/>
                  </pic:spPr>
                </pic:pic>
              </a:graphicData>
            </a:graphic>
          </wp:inline>
        </w:drawing>
      </w:r>
    </w:p>
    <w:p>
      <w:pPr>
        <w:pStyle w:val="Caption"/>
        <w:keepNext w:val="0"/>
        <w:keepLines/>
      </w:pPr>
      <w:r>
        <w:t>Fig. S2 ETHZ temporal positive control and grouping sensitivity. (A) Origin-time ranges by supplied subset; the 240-day train–test separation includes development data and is not an event-free interval. (B) Shared bins across any pair versus training and testing only. Monthly sharing reflects the within-month boundaries of adjacent subsets. Year-bin sharing does not negate chronological order.</w:t>
      </w:r>
    </w:p>
    <w:p>
      <w:pPr>
        <w:keepNext w:val="0"/>
      </w:pPr>
      <w:r>
        <w:t>A separate pandas/vectorized implementation reconstructs memberships from the original CSVs and agrees with all 28 assessable contract outputs (three source, four station, twelve spatial and nine temporal). This verification is author-run. The existing 27-test CI matrix on Linux and Windows with Python 3.10/3.12 covers the core package, offline installed-wheel cases and manifest checks; it does not download or execute the complete four-dataset audit. The new full audit was run with Python 3.12.14, pandas 3.0.1, NumPy 2.5.4, pyproj 3.8.0 (PROJ 9.8.1) and Matplotlib 3.11.2. The core remains standard-library-only; the metadata extension requires these additional packages.</w:t>
      </w:r>
    </w:p>
    <w:p>
      <w:pPr>
        <w:keepNext w:val="0"/>
      </w:pPr>
      <w:r>
        <w:t>To regenerate, obtain the tagged repository/archive and enter case_studies/metadata_ia1_ia2. Run the following commands in order, proceeding only after success. Installation and acquisition require internet; no MATLAB or GPU is required. Minimum hardware requirements have not been benchmarked. Use a fresh copy because the audit refuses to overwrite result directories.</w:t>
      </w:r>
      <w:r>
        <w:t xml:space="preserve"> Each command is one logical line even if it wraps on the page.</w:t>
      </w:r>
    </w:p>
    <w:p>
      <w:pPr>
        <w:keepNext w:val="0"/>
        <w:spacing w:after="40"/>
      </w:pPr>
      <w:r>
        <w:rPr>
          <w:rFonts w:ascii="Consolas" w:hAnsi="Consolas"/>
          <w:sz w:val="18"/>
        </w:rPr>
        <w:t>python check_package.py</w:t>
      </w:r>
    </w:p>
    <w:p>
      <w:pPr>
        <w:keepNext w:val="0"/>
        <w:spacing w:after="40"/>
      </w:pPr>
      <w:r>
        <w:rPr>
          <w:rFonts w:ascii="Consolas" w:hAnsi="Consolas"/>
          <w:sz w:val="18"/>
        </w:rPr>
        <w:t>python -m pip install --target .deps -r requirements.txt</w:t>
      </w:r>
    </w:p>
    <w:p>
      <w:pPr>
        <w:keepNext w:val="0"/>
        <w:spacing w:after="40"/>
      </w:pPr>
      <w:r>
        <w:rPr>
          <w:rFonts w:ascii="Consolas" w:hAnsi="Consolas"/>
          <w:sz w:val="18"/>
        </w:rPr>
        <w:t>python -m pip install --no-deps --no-index --target software/installed software/seismic_eval_audit-0.1.3-py3-none-any.whl</w:t>
      </w:r>
    </w:p>
    <w:p>
      <w:pPr>
        <w:keepNext w:val="0"/>
        <w:spacing w:after="40"/>
      </w:pPr>
      <w:r>
        <w:rPr>
          <w:rFonts w:ascii="Consolas" w:hAnsi="Consolas"/>
          <w:sz w:val="18"/>
        </w:rPr>
        <w:t>python acquire_ranges.py</w:t>
      </w:r>
    </w:p>
    <w:p>
      <w:pPr>
        <w:keepNext w:val="0"/>
        <w:spacing w:after="40"/>
      </w:pPr>
      <w:r>
        <w:rPr>
          <w:rFonts w:ascii="Consolas" w:hAnsi="Consolas"/>
          <w:sz w:val="18"/>
        </w:rPr>
        <w:t>python audit.py --section a1</w:t>
      </w:r>
    </w:p>
    <w:p>
      <w:pPr>
        <w:keepNext w:val="0"/>
        <w:spacing w:after="40"/>
      </w:pPr>
      <w:r>
        <w:rPr>
          <w:rFonts w:ascii="Consolas" w:hAnsi="Consolas"/>
          <w:sz w:val="18"/>
        </w:rPr>
        <w:t>python audit.py --section a2</w:t>
      </w:r>
    </w:p>
    <w:p>
      <w:pPr>
        <w:keepNext w:val="0"/>
        <w:spacing w:after="40"/>
      </w:pPr>
      <w:r>
        <w:rPr>
          <w:rFonts w:ascii="Consolas" w:hAnsi="Consolas"/>
          <w:sz w:val="18"/>
        </w:rPr>
        <w:t>python verify.py</w:t>
      </w:r>
    </w:p>
    <w:p>
      <w:pPr>
        <w:keepNext w:val="0"/>
        <w:spacing w:after="40"/>
      </w:pPr>
      <w:r>
        <w:rPr>
          <w:rFonts w:ascii="Consolas" w:hAnsi="Consolas"/>
          <w:sz w:val="18"/>
        </w:rPr>
        <w:t>python audit_context.py</w:t>
      </w:r>
    </w:p>
    <w:p>
      <w:pPr>
        <w:keepNext w:val="0"/>
        <w:spacing w:after="40"/>
      </w:pPr>
      <w:r>
        <w:rPr>
          <w:rFonts w:ascii="Consolas" w:hAnsi="Consolas"/>
          <w:sz w:val="18"/>
        </w:rPr>
        <w:t>python report.py</w:t>
      </w:r>
    </w:p>
    <w:p>
      <w:pPr>
        <w:keepNext w:val="0"/>
      </w:pPr>
      <w:r>
        <w:t>The README provides a direct JSON comparison between regenerated results/I_A1 and results/I_A2 summaries and their frozen reference_results counterparts. Acquisition rejects changed input bytes. Numerical summaries, not newly compressed PDF/gzip bytes or environment timestamps, are the regeneration comparison target. The local acquisition check used 34 cached files and a fresh Iquique download; it was not a fresh redownload of all 35 inputs. The metadata extension excludes its 35 raw CSVs and its new detailed membership, violation and source-location rows because uniform redistribution permission was not established. Four identifier-only ETHZ membership tables from v0.1.3 remain outside this extension directory and are present in both repository archives (DOIs 10.5281/zenodo.23684054 and 10.5281/zenodo.23758930). Each contains 36,743 rows with record_id, source_id or station_key, and split; these tables do not contain waveforms or coordinates. It preserves their upstream URLs and hashes plus scripts for local regeneration. Continued availability of exact upstream bytes is required.</w:t>
      </w:r>
    </w:p>
    <w:p>
      <w:pPr>
        <w:pStyle w:val="Heading1"/>
        <w:pageBreakBefore w:val="0"/>
      </w:pPr>
      <w:r>
        <w:t>11 Dataset and network attribution</w:t>
      </w:r>
    </w:p>
    <w:p>
      <w:pPr/>
      <w:r>
        <w:t>Primary-paper verification used the author manuscript deposited in GFZpublic for DOI 10.1785/0220230187. Section 2.1, printed p. 5 (PDF p. 7), lines 94–98 states random 70/10/20 allocation, keeps all traces of each event in one subset, and gives 44,106 events and 174,436 traces. The deposited bibliographic cover and publisher DOI metadata identify the final article as Seismological Research Letters 95(3):1543–1557 (2024); its online publication date is 17 October 2023. Thus these claims are supported by the article itself, not only by SeisBench documentation. The inspected PDF SHA-256 is 2b5a1b5c8048ce2d4b7a87a17a8290420ce94dfda0c4e3f895e6efd96f3652e3; its URL is preserved in provenance/review_source_manifest.json.</w:t>
      </w:r>
    </w:p>
    <w:p>
      <w:pPr/>
      <w:r>
        <w:t>Adapter context is pinned to SeisBench commit e5616ad33c00aba75d5130b44222df46b41e4094. The ISC-EHB adapter SHA-256 is 68c62a2dd0bafe464c2d27af29e8beeacc981765047d9ba22f33efade4c28301; the 32 input CSV hashes and URLs are in provenance/input_manifest.json. All downloaded rows are retained without additional selection. This pinned adapter provides implementation context but does not establish which historical code version created the distributed CSVs. The reason their population differs from the article remains unresolved; no undocumented selection rule is inferred.</w:t>
      </w:r>
    </w:p>
    <w:p>
      <w:pPr>
        <w:keepNext w:val="0"/>
      </w:pPr>
      <w:r>
        <w:t>Dataset context and attribution accompany the numerical results. ISC-EHB is described by Münchmeyer, Saul and Tilmann (2024), whose article reports event-grouped random 70/10/20 allocation in Section 2.1. The downloaded snapshot has 190,275 records and 45,028 source IDs, differing from the paper’s 174,436 traces and 44,106 events; our results apply to the hashed snapshot. Iquique is associated with Woollam et al. (2019), and its pinned SeisBench adapter documents record sampling. GEOFON benchmark context is provided by Münchmeyer et al. (2022). GEOFON Data Centre (1993) credits the GE seismic network, not the complete multi-network benchmark. Upstream data rights remain separate from the software MIT license; LICENSE_REVIEW.md records source-specific terms and uncertainties.</w:t>
      </w:r>
    </w:p>
    <w:p>
      <w:pPr/>
      <w:r>
        <w:t>A 29 October 2026 review of SED waveform access, network DOI pages, the SED disclaimer and the SeisBench imprint did not establish a named redistribution license covering the complete converted ETHZ metadata table or its derived identifier tables. SED describes open data access and requests network DOI attribution; open access is not treated here as a blanket relicensing grant. NOT_ESTABLISHED records this evidence limit, not a finding that redistribution is prohibited. The previously archived identifier tables remain disclosed above; their presence does not itself establish permission. Dataset attribution and software licensing remain separate.</w:t>
      </w:r>
    </w:p>
    <w:p>
      <w:r>
        <w:t>The ETHZ metadata include five networks. The following dataset citations were verified using DataCite metadata on 27 October 2026 and follow the network DOIs listed by SeisBench. Counts refer to retained metadata records, not numbers of stations.</w:t>
      </w:r>
    </w:p>
    <w:p>
      <w:pPr>
        <w:pStyle w:val="Caption"/>
        <w:keepNext/>
        <w:keepLines/>
      </w:pPr>
      <w:r>
        <w:t>Table S9 Networks represented in the ETHZ metadata</w:t>
      </w:r>
    </w:p>
    <w:tbl>
      <w:tblPr>
        <w:tblW w:type="auto" w:w="0"/>
        <w:tblLayout w:type="fixed"/>
        <w:tblLook w:firstColumn="1" w:firstRow="1" w:lastColumn="0" w:lastRow="0" w:noHBand="0" w:noVBand="1" w:val="04A0"/>
      </w:tblPr>
      <w:tblGrid>
        <w:gridCol w:w="1152"/>
        <w:gridCol w:w="1440"/>
        <w:gridCol w:w="6696"/>
      </w:tblGrid>
      <w:tr>
        <w:trPr>
          <w:tblHeade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Network</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Records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Dataset DOI</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36,192</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10.12686/sed/networks/ch</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8D</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208</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10.12686/sed/networks/8d</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207</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10.12686/sed/networks/s</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C4</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132</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10.12686/sed/networks/c4</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XT</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4</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10.12686/alparray/xt_2014</w:t>
            </w:r>
          </w:p>
        </w:tc>
      </w:tr>
    </w:tbl>
    <w:p>
      <w:pPr>
        <w:keepNext w:val="0"/>
      </w:pPr>
      <w:r>
        <w:t>Münchmeyer J, Saul J, Tilmann F (2024) Learning the Deep and the Shallow: Deep-Learning-Based Depth Phase Picking and Earthquake Depth Estimation. Seismological Research Letters 95(3):1543–1557. https://doi.org/10.1785/0220230187</w:t>
      </w:r>
    </w:p>
    <w:p>
      <w:pPr>
        <w:keepNext w:val="0"/>
      </w:pPr>
      <w:r>
        <w:t>Woollam J, Rietbrock A, Bueno A, De Angelis S (2019) Convolutional Neural Network for Seismic Phase Classification, Performance Demonstration over a Local Seismic Network. Seismological Research Letters 90(2A):491–502. https://doi.org/10.1785/0220180312</w:t>
      </w:r>
    </w:p>
    <w:p>
      <w:pPr>
        <w:keepNext w:val="0"/>
      </w:pPr>
      <w:r>
        <w:t>GEOFON Data Centre (1993) GEOFON Seismic Network. Deutsches GeoForschungsZentrum GFZ. https://doi.org/10.14470/TR560404</w:t>
      </w:r>
    </w:p>
    <w:p>
      <w:r>
        <w:t>Swiss Seismological Service at ETH Zurich (1983) National Seismic Networks of Switzerland. ETH Zürich. https://doi.org/10.12686/sed/networks/ch</w:t>
      </w:r>
    </w:p>
    <w:p>
      <w:r>
        <w:t>CERN (2016) CERN Seismic Network. ETH Zurich. https://doi.org/10.12686/sed/networks/c4</w:t>
      </w:r>
    </w:p>
    <w:p>
      <w:r>
        <w:t>Swiss Seismological Service at ETH Zurich (2005) Temporary deployments in Switzerland associated with aftershocks and other seismic sequences. ETH Zurich. https://doi.org/10.12686/sed/networks/8d</w:t>
      </w:r>
    </w:p>
    <w:p>
      <w:r>
        <w:t>Swiss Seismological Service at ETH Zurich (2008) Seismology at School Program, ETH Zurich. ETH Zurich. https://doi.org/10.12686/sed/networks/s</w:t>
      </w:r>
    </w:p>
    <w:p>
      <w:r>
        <w:t>AlpArray Seismic Network (2014) Eastern Alpine Seismic Investigation (EASI) - AlpArray Complimentary Experiment. AlpArray Working Group. https://doi.org/10.12686/alparray/xt_2014</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