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internal record accompanies a limited usage-strengthening update. It is not a scientific supplementary file for journal upload. No training, inference, new dataset or model-result changes were made.</w:t>
      </w:r>
    </w:p>
    <w:p>
      <w:pPr/>
      <w:r>
        <w:t>The public documents remove internal revision language, clarify the two STEAD test populations and link to an installed-wheel walkthrough. Online Resource 1 adds a comparison with split-construction interfaces, a six-contract evidence matrix and observed usage outcomes. The Python library, wheel and archived releases remain unchanged.</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reconstructed child links are consistent with frozen memberships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dedicated repository rcw3712/seismic-eval-audit distributes v0.1.3. Its source and evidence are now archived at https://doi.org/10.5281/zenodo.23684054. Tag archive-v0.1.3 points to the same commit as the original v0.1.3 release; both tags and earlier archives are preserved. The Zenodo ZIP checksum and 76 manifest file hashes match the release. The current manuscript and citation edits were made after archival and are distinguished from those immutable bytes. The previous editorial decision was rejection, not an invitation to revise. No inquiry or journal submission has been sent by this workflow.</w:t>
      </w:r>
    </w:p>
    <w:p>
      <w:pPr>
        <w:pStyle w:val="Heading1"/>
      </w:pPr>
      <w:r>
        <w:t>Author checks before submission</w:t>
      </w:r>
    </w:p>
    <w:p>
      <w:r>
        <w:t>The installed-wheel example reproduced ETHZ source and station counts and exercised five CLI status/exit combinations plus synthetic API calls. It is author-run verification, not independent adoption. Python software attribution remains with Wibowo; Mahli and Karyanto contributed to the historical MATLAB pipeline. Inquiry remains prepared but not sent by this workflow because no authenticated email channel is available. Its text is stored separately in Inquiry/. No editor response is pending until sending is confirmed. Article-category conversion remains subject to editorial guidance.</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